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C2E41" w14:paraId="63A5089C" w14:textId="77777777">
        <w:tblPrEx>
          <w:tblCellMar>
            <w:top w:w="0" w:type="dxa"/>
            <w:bottom w:w="0" w:type="dxa"/>
          </w:tblCellMar>
        </w:tblPrEx>
        <w:trPr>
          <w:tblCellSpacing w:w="60" w:type="dxa"/>
        </w:trPr>
        <w:tc>
          <w:tcPr>
            <w:tcW w:w="1200" w:type="pct"/>
            <w:shd w:val="clear" w:color="auto" w:fill="E7F0F9"/>
          </w:tcPr>
          <w:p w14:paraId="5B78FA11" w14:textId="77777777" w:rsidR="001C2E41" w:rsidRDefault="00000000">
            <w:pPr>
              <w:spacing w:after="0" w:line="240" w:lineRule="auto"/>
            </w:pPr>
            <w:r>
              <w:rPr>
                <w:b/>
              </w:rPr>
              <w:t>RKP broj</w:t>
            </w:r>
          </w:p>
        </w:tc>
        <w:tc>
          <w:tcPr>
            <w:tcW w:w="0" w:type="auto"/>
            <w:shd w:val="clear" w:color="auto" w:fill="E7F0F9"/>
          </w:tcPr>
          <w:p w14:paraId="4B1E4760" w14:textId="77777777" w:rsidR="001C2E41" w:rsidRDefault="00000000">
            <w:pPr>
              <w:spacing w:after="0" w:line="240" w:lineRule="auto"/>
            </w:pPr>
            <w:r>
              <w:t>50993</w:t>
            </w:r>
          </w:p>
        </w:tc>
      </w:tr>
      <w:tr w:rsidR="001C2E41" w14:paraId="4DD61C9B" w14:textId="77777777">
        <w:tblPrEx>
          <w:tblCellMar>
            <w:top w:w="0" w:type="dxa"/>
            <w:bottom w:w="0" w:type="dxa"/>
          </w:tblCellMar>
        </w:tblPrEx>
        <w:trPr>
          <w:tblCellSpacing w:w="60" w:type="dxa"/>
        </w:trPr>
        <w:tc>
          <w:tcPr>
            <w:tcW w:w="1200" w:type="pct"/>
            <w:shd w:val="clear" w:color="auto" w:fill="E7F0F9"/>
          </w:tcPr>
          <w:p w14:paraId="4D48479A" w14:textId="77777777" w:rsidR="001C2E41" w:rsidRDefault="00000000">
            <w:pPr>
              <w:spacing w:after="0" w:line="240" w:lineRule="auto"/>
            </w:pPr>
            <w:r>
              <w:rPr>
                <w:b/>
              </w:rPr>
              <w:t>Naziv obveznika</w:t>
            </w:r>
          </w:p>
        </w:tc>
        <w:tc>
          <w:tcPr>
            <w:tcW w:w="0" w:type="auto"/>
            <w:shd w:val="clear" w:color="auto" w:fill="E7F0F9"/>
          </w:tcPr>
          <w:p w14:paraId="68EFAD3E" w14:textId="77777777" w:rsidR="001C2E41" w:rsidRDefault="00000000">
            <w:pPr>
              <w:spacing w:after="0" w:line="240" w:lineRule="auto"/>
            </w:pPr>
            <w:r>
              <w:t>HŽ INFRASTRUKTURA d.o.o.</w:t>
            </w:r>
          </w:p>
        </w:tc>
      </w:tr>
      <w:tr w:rsidR="001C2E41" w14:paraId="18417AF9" w14:textId="77777777">
        <w:tblPrEx>
          <w:tblCellMar>
            <w:top w:w="0" w:type="dxa"/>
            <w:bottom w:w="0" w:type="dxa"/>
          </w:tblCellMar>
        </w:tblPrEx>
        <w:trPr>
          <w:tblCellSpacing w:w="60" w:type="dxa"/>
        </w:trPr>
        <w:tc>
          <w:tcPr>
            <w:tcW w:w="1200" w:type="pct"/>
            <w:shd w:val="clear" w:color="auto" w:fill="E7F0F9"/>
          </w:tcPr>
          <w:p w14:paraId="2A145488" w14:textId="77777777" w:rsidR="001C2E41" w:rsidRDefault="00000000">
            <w:pPr>
              <w:spacing w:after="0" w:line="240" w:lineRule="auto"/>
            </w:pPr>
            <w:r>
              <w:rPr>
                <w:b/>
              </w:rPr>
              <w:t>Razina</w:t>
            </w:r>
          </w:p>
        </w:tc>
        <w:tc>
          <w:tcPr>
            <w:tcW w:w="0" w:type="auto"/>
            <w:shd w:val="clear" w:color="auto" w:fill="E7F0F9"/>
          </w:tcPr>
          <w:p w14:paraId="68FBA04C" w14:textId="77777777" w:rsidR="001C2E41" w:rsidRDefault="00000000">
            <w:pPr>
              <w:spacing w:after="0" w:line="240" w:lineRule="auto"/>
            </w:pPr>
            <w:r>
              <w:t>41</w:t>
            </w:r>
          </w:p>
        </w:tc>
      </w:tr>
    </w:tbl>
    <w:p w14:paraId="2317637F" w14:textId="77777777" w:rsidR="001C2E41" w:rsidRDefault="00000000">
      <w:r>
        <w:br/>
      </w:r>
    </w:p>
    <w:p w14:paraId="5350CC16" w14:textId="77777777" w:rsidR="001C2E41" w:rsidRDefault="00000000">
      <w:pPr>
        <w:spacing w:line="240" w:lineRule="auto"/>
        <w:jc w:val="center"/>
      </w:pPr>
      <w:r>
        <w:rPr>
          <w:b/>
          <w:sz w:val="28"/>
        </w:rPr>
        <w:t>BILJEŠKE UZ FINANCIJSKE IZVJEŠTAJE</w:t>
      </w:r>
    </w:p>
    <w:p w14:paraId="5DB256BC" w14:textId="77777777" w:rsidR="001C2E41" w:rsidRDefault="00000000">
      <w:pPr>
        <w:spacing w:line="240" w:lineRule="auto"/>
        <w:jc w:val="center"/>
      </w:pPr>
      <w:r>
        <w:rPr>
          <w:b/>
          <w:sz w:val="28"/>
        </w:rPr>
        <w:t>ZA RAZDOBLJE</w:t>
      </w:r>
    </w:p>
    <w:p w14:paraId="1DB655F9" w14:textId="77777777" w:rsidR="001C2E41" w:rsidRDefault="00000000">
      <w:pPr>
        <w:spacing w:line="240" w:lineRule="auto"/>
        <w:jc w:val="center"/>
      </w:pPr>
      <w:r>
        <w:rPr>
          <w:b/>
          <w:sz w:val="28"/>
        </w:rPr>
        <w:t>I - XII 2025.</w:t>
      </w:r>
    </w:p>
    <w:p w14:paraId="770CE59B" w14:textId="77777777" w:rsidR="001C2E41" w:rsidRDefault="001C2E41"/>
    <w:p w14:paraId="44D15555" w14:textId="77777777" w:rsidR="001C2E41" w:rsidRDefault="00000000">
      <w:pPr>
        <w:keepNext/>
        <w:spacing w:line="240" w:lineRule="auto"/>
        <w:jc w:val="center"/>
      </w:pPr>
      <w:r>
        <w:rPr>
          <w:b/>
          <w:sz w:val="28"/>
        </w:rPr>
        <w:t>Izvještaj o prihodima i rashodima, primicima i izdacima</w:t>
      </w:r>
    </w:p>
    <w:p w14:paraId="2DC3789E" w14:textId="77777777" w:rsidR="001C2E41"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45A6E2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F71DF7"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455B08"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C214A0"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9E2C59"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180D3A"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C03B12" w14:textId="77777777" w:rsidR="001C2E41" w:rsidRDefault="00000000">
            <w:pPr>
              <w:keepNext/>
              <w:keepLines/>
              <w:spacing w:after="0" w:line="240" w:lineRule="auto"/>
              <w:jc w:val="center"/>
            </w:pPr>
            <w:r>
              <w:rPr>
                <w:b/>
                <w:sz w:val="18"/>
              </w:rPr>
              <w:t>Indeks (%)</w:t>
            </w:r>
          </w:p>
        </w:tc>
      </w:tr>
      <w:tr w:rsidR="001C2E41" w14:paraId="447125D1" w14:textId="77777777">
        <w:tblPrEx>
          <w:tblCellMar>
            <w:top w:w="0" w:type="dxa"/>
            <w:bottom w:w="0" w:type="dxa"/>
          </w:tblCellMar>
        </w:tblPrEx>
        <w:trPr>
          <w:cantSplit/>
          <w:trHeight w:val="560"/>
        </w:trPr>
        <w:tc>
          <w:tcPr>
            <w:tcW w:w="700" w:type="dxa"/>
            <w:tcMar>
              <w:top w:w="0" w:type="dxa"/>
              <w:bottom w:w="0" w:type="dxa"/>
            </w:tcMar>
            <w:vAlign w:val="center"/>
          </w:tcPr>
          <w:p w14:paraId="2E4F14B8" w14:textId="77777777" w:rsidR="001C2E41" w:rsidRDefault="00000000">
            <w:pPr>
              <w:keepNext/>
              <w:keepLines/>
              <w:spacing w:after="0" w:line="240" w:lineRule="auto"/>
            </w:pPr>
            <w:r>
              <w:rPr>
                <w:sz w:val="18"/>
              </w:rPr>
              <w:t>6</w:t>
            </w:r>
          </w:p>
        </w:tc>
        <w:tc>
          <w:tcPr>
            <w:tcW w:w="3180" w:type="dxa"/>
            <w:tcMar>
              <w:top w:w="0" w:type="dxa"/>
              <w:bottom w:w="0" w:type="dxa"/>
            </w:tcMar>
            <w:vAlign w:val="center"/>
          </w:tcPr>
          <w:p w14:paraId="2ADA9F3A" w14:textId="77777777" w:rsidR="001C2E41"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01B3962" w14:textId="77777777" w:rsidR="001C2E41" w:rsidRDefault="00000000">
            <w:pPr>
              <w:keepNext/>
              <w:keepLines/>
              <w:spacing w:after="0" w:line="240" w:lineRule="auto"/>
            </w:pPr>
            <w:r>
              <w:rPr>
                <w:sz w:val="18"/>
              </w:rPr>
              <w:t>6</w:t>
            </w:r>
          </w:p>
        </w:tc>
        <w:tc>
          <w:tcPr>
            <w:tcW w:w="1860" w:type="dxa"/>
            <w:tcMar>
              <w:top w:w="0" w:type="dxa"/>
              <w:bottom w:w="0" w:type="dxa"/>
            </w:tcMar>
            <w:vAlign w:val="center"/>
          </w:tcPr>
          <w:p w14:paraId="4F7518C0" w14:textId="77777777" w:rsidR="001C2E41" w:rsidRDefault="00000000">
            <w:pPr>
              <w:keepNext/>
              <w:keepLines/>
              <w:spacing w:after="0" w:line="240" w:lineRule="auto"/>
              <w:jc w:val="right"/>
            </w:pPr>
            <w:r>
              <w:rPr>
                <w:sz w:val="18"/>
              </w:rPr>
              <w:t>449.384.871,58</w:t>
            </w:r>
          </w:p>
        </w:tc>
        <w:tc>
          <w:tcPr>
            <w:tcW w:w="1860" w:type="dxa"/>
            <w:tcMar>
              <w:top w:w="0" w:type="dxa"/>
              <w:bottom w:w="0" w:type="dxa"/>
            </w:tcMar>
            <w:vAlign w:val="center"/>
          </w:tcPr>
          <w:p w14:paraId="5A4367C6" w14:textId="77777777" w:rsidR="001C2E41" w:rsidRDefault="00000000">
            <w:pPr>
              <w:keepNext/>
              <w:keepLines/>
              <w:spacing w:after="0" w:line="240" w:lineRule="auto"/>
              <w:jc w:val="right"/>
            </w:pPr>
            <w:r>
              <w:rPr>
                <w:sz w:val="18"/>
              </w:rPr>
              <w:t>546.361.882,63</w:t>
            </w:r>
          </w:p>
        </w:tc>
        <w:tc>
          <w:tcPr>
            <w:tcW w:w="700" w:type="dxa"/>
            <w:tcMar>
              <w:top w:w="0" w:type="dxa"/>
              <w:bottom w:w="0" w:type="dxa"/>
            </w:tcMar>
            <w:vAlign w:val="center"/>
          </w:tcPr>
          <w:p w14:paraId="66F0F197" w14:textId="77777777" w:rsidR="001C2E41" w:rsidRDefault="00000000">
            <w:pPr>
              <w:keepNext/>
              <w:keepLines/>
              <w:spacing w:after="0" w:line="240" w:lineRule="auto"/>
              <w:jc w:val="right"/>
            </w:pPr>
            <w:r>
              <w:rPr>
                <w:sz w:val="18"/>
              </w:rPr>
              <w:t>121,6</w:t>
            </w:r>
          </w:p>
        </w:tc>
      </w:tr>
      <w:tr w:rsidR="001C2E41" w14:paraId="12334819" w14:textId="77777777">
        <w:tblPrEx>
          <w:tblCellMar>
            <w:top w:w="0" w:type="dxa"/>
            <w:bottom w:w="0" w:type="dxa"/>
          </w:tblCellMar>
        </w:tblPrEx>
        <w:trPr>
          <w:cantSplit/>
          <w:trHeight w:val="560"/>
        </w:trPr>
        <w:tc>
          <w:tcPr>
            <w:tcW w:w="700" w:type="dxa"/>
            <w:tcMar>
              <w:top w:w="0" w:type="dxa"/>
              <w:bottom w:w="0" w:type="dxa"/>
            </w:tcMar>
            <w:vAlign w:val="center"/>
          </w:tcPr>
          <w:p w14:paraId="43C49559" w14:textId="77777777" w:rsidR="001C2E41" w:rsidRDefault="00000000">
            <w:pPr>
              <w:keepNext/>
              <w:keepLines/>
              <w:spacing w:after="0" w:line="240" w:lineRule="auto"/>
            </w:pPr>
            <w:r>
              <w:rPr>
                <w:sz w:val="18"/>
              </w:rPr>
              <w:t>3</w:t>
            </w:r>
          </w:p>
        </w:tc>
        <w:tc>
          <w:tcPr>
            <w:tcW w:w="3180" w:type="dxa"/>
            <w:tcMar>
              <w:top w:w="0" w:type="dxa"/>
              <w:bottom w:w="0" w:type="dxa"/>
            </w:tcMar>
            <w:vAlign w:val="center"/>
          </w:tcPr>
          <w:p w14:paraId="67A249AD" w14:textId="77777777" w:rsidR="001C2E41"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7F16396" w14:textId="77777777" w:rsidR="001C2E41" w:rsidRDefault="00000000">
            <w:pPr>
              <w:keepNext/>
              <w:keepLines/>
              <w:spacing w:after="0" w:line="240" w:lineRule="auto"/>
            </w:pPr>
            <w:r>
              <w:rPr>
                <w:sz w:val="18"/>
              </w:rPr>
              <w:t>3</w:t>
            </w:r>
          </w:p>
        </w:tc>
        <w:tc>
          <w:tcPr>
            <w:tcW w:w="1860" w:type="dxa"/>
            <w:tcMar>
              <w:top w:w="0" w:type="dxa"/>
              <w:bottom w:w="0" w:type="dxa"/>
            </w:tcMar>
            <w:vAlign w:val="center"/>
          </w:tcPr>
          <w:p w14:paraId="6286675A" w14:textId="77777777" w:rsidR="001C2E41" w:rsidRDefault="00000000">
            <w:pPr>
              <w:keepNext/>
              <w:keepLines/>
              <w:spacing w:after="0" w:line="240" w:lineRule="auto"/>
              <w:jc w:val="right"/>
            </w:pPr>
            <w:r>
              <w:rPr>
                <w:sz w:val="18"/>
              </w:rPr>
              <w:t>201.809.115,75</w:t>
            </w:r>
          </w:p>
        </w:tc>
        <w:tc>
          <w:tcPr>
            <w:tcW w:w="1860" w:type="dxa"/>
            <w:tcMar>
              <w:top w:w="0" w:type="dxa"/>
              <w:bottom w:w="0" w:type="dxa"/>
            </w:tcMar>
            <w:vAlign w:val="center"/>
          </w:tcPr>
          <w:p w14:paraId="5937DD2F" w14:textId="77777777" w:rsidR="001C2E41" w:rsidRDefault="00000000">
            <w:pPr>
              <w:keepNext/>
              <w:keepLines/>
              <w:spacing w:after="0" w:line="240" w:lineRule="auto"/>
              <w:jc w:val="right"/>
            </w:pPr>
            <w:r>
              <w:rPr>
                <w:sz w:val="18"/>
              </w:rPr>
              <w:t>231.640.446,93</w:t>
            </w:r>
          </w:p>
        </w:tc>
        <w:tc>
          <w:tcPr>
            <w:tcW w:w="700" w:type="dxa"/>
            <w:tcMar>
              <w:top w:w="0" w:type="dxa"/>
              <w:bottom w:w="0" w:type="dxa"/>
            </w:tcMar>
            <w:vAlign w:val="center"/>
          </w:tcPr>
          <w:p w14:paraId="4F2D26B8" w14:textId="77777777" w:rsidR="001C2E41" w:rsidRDefault="00000000">
            <w:pPr>
              <w:keepNext/>
              <w:keepLines/>
              <w:spacing w:after="0" w:line="240" w:lineRule="auto"/>
              <w:jc w:val="right"/>
            </w:pPr>
            <w:r>
              <w:rPr>
                <w:sz w:val="18"/>
              </w:rPr>
              <w:t>114,8</w:t>
            </w:r>
          </w:p>
        </w:tc>
      </w:tr>
      <w:tr w:rsidR="001C2E41" w14:paraId="01B5E800" w14:textId="77777777">
        <w:tblPrEx>
          <w:tblCellMar>
            <w:top w:w="0" w:type="dxa"/>
            <w:bottom w:w="0" w:type="dxa"/>
          </w:tblCellMar>
        </w:tblPrEx>
        <w:trPr>
          <w:cantSplit/>
          <w:trHeight w:val="560"/>
        </w:trPr>
        <w:tc>
          <w:tcPr>
            <w:tcW w:w="700" w:type="dxa"/>
            <w:tcMar>
              <w:top w:w="0" w:type="dxa"/>
              <w:bottom w:w="0" w:type="dxa"/>
            </w:tcMar>
            <w:vAlign w:val="center"/>
          </w:tcPr>
          <w:p w14:paraId="5461A619" w14:textId="77777777" w:rsidR="001C2E41" w:rsidRDefault="001C2E41">
            <w:pPr>
              <w:keepNext/>
              <w:keepLines/>
              <w:spacing w:after="0" w:line="240" w:lineRule="auto"/>
            </w:pPr>
          </w:p>
        </w:tc>
        <w:tc>
          <w:tcPr>
            <w:tcW w:w="3180" w:type="dxa"/>
            <w:tcMar>
              <w:top w:w="0" w:type="dxa"/>
              <w:bottom w:w="0" w:type="dxa"/>
            </w:tcMar>
            <w:vAlign w:val="center"/>
          </w:tcPr>
          <w:p w14:paraId="412DDDB5" w14:textId="77777777" w:rsidR="001C2E41"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79F2D51" w14:textId="77777777" w:rsidR="001C2E41" w:rsidRDefault="00000000">
            <w:pPr>
              <w:keepNext/>
              <w:keepLines/>
              <w:spacing w:after="0" w:line="240" w:lineRule="auto"/>
            </w:pPr>
            <w:r>
              <w:rPr>
                <w:b/>
                <w:sz w:val="18"/>
              </w:rPr>
              <w:t>X001</w:t>
            </w:r>
          </w:p>
        </w:tc>
        <w:tc>
          <w:tcPr>
            <w:tcW w:w="1860" w:type="dxa"/>
            <w:tcMar>
              <w:top w:w="0" w:type="dxa"/>
              <w:bottom w:w="0" w:type="dxa"/>
            </w:tcMar>
            <w:vAlign w:val="center"/>
          </w:tcPr>
          <w:p w14:paraId="509A379E" w14:textId="77777777" w:rsidR="001C2E41" w:rsidRDefault="00000000">
            <w:pPr>
              <w:keepNext/>
              <w:keepLines/>
              <w:spacing w:after="0" w:line="240" w:lineRule="auto"/>
              <w:jc w:val="right"/>
            </w:pPr>
            <w:r>
              <w:rPr>
                <w:b/>
                <w:sz w:val="18"/>
              </w:rPr>
              <w:t>247.575.755,83</w:t>
            </w:r>
          </w:p>
        </w:tc>
        <w:tc>
          <w:tcPr>
            <w:tcW w:w="1860" w:type="dxa"/>
            <w:tcMar>
              <w:top w:w="0" w:type="dxa"/>
              <w:bottom w:w="0" w:type="dxa"/>
            </w:tcMar>
            <w:vAlign w:val="center"/>
          </w:tcPr>
          <w:p w14:paraId="47549545" w14:textId="77777777" w:rsidR="001C2E41" w:rsidRDefault="00000000">
            <w:pPr>
              <w:keepNext/>
              <w:keepLines/>
              <w:spacing w:after="0" w:line="240" w:lineRule="auto"/>
              <w:jc w:val="right"/>
            </w:pPr>
            <w:r>
              <w:rPr>
                <w:b/>
                <w:sz w:val="18"/>
              </w:rPr>
              <w:t>314.721.435,70</w:t>
            </w:r>
          </w:p>
        </w:tc>
        <w:tc>
          <w:tcPr>
            <w:tcW w:w="700" w:type="dxa"/>
            <w:tcMar>
              <w:top w:w="0" w:type="dxa"/>
              <w:bottom w:w="0" w:type="dxa"/>
            </w:tcMar>
            <w:vAlign w:val="center"/>
          </w:tcPr>
          <w:p w14:paraId="12EF4EFC" w14:textId="77777777" w:rsidR="001C2E41" w:rsidRDefault="00000000">
            <w:pPr>
              <w:keepNext/>
              <w:keepLines/>
              <w:spacing w:after="0" w:line="240" w:lineRule="auto"/>
              <w:jc w:val="right"/>
            </w:pPr>
            <w:r>
              <w:rPr>
                <w:b/>
                <w:sz w:val="18"/>
              </w:rPr>
              <w:t>127,1</w:t>
            </w:r>
          </w:p>
        </w:tc>
      </w:tr>
      <w:tr w:rsidR="001C2E41" w14:paraId="120C4B80" w14:textId="77777777">
        <w:tblPrEx>
          <w:tblCellMar>
            <w:top w:w="0" w:type="dxa"/>
            <w:bottom w:w="0" w:type="dxa"/>
          </w:tblCellMar>
        </w:tblPrEx>
        <w:trPr>
          <w:cantSplit/>
          <w:trHeight w:val="560"/>
        </w:trPr>
        <w:tc>
          <w:tcPr>
            <w:tcW w:w="700" w:type="dxa"/>
            <w:tcMar>
              <w:top w:w="0" w:type="dxa"/>
              <w:bottom w:w="0" w:type="dxa"/>
            </w:tcMar>
            <w:vAlign w:val="center"/>
          </w:tcPr>
          <w:p w14:paraId="3A92024B" w14:textId="77777777" w:rsidR="001C2E41" w:rsidRDefault="00000000">
            <w:pPr>
              <w:keepNext/>
              <w:keepLines/>
              <w:spacing w:after="0" w:line="240" w:lineRule="auto"/>
            </w:pPr>
            <w:r>
              <w:rPr>
                <w:sz w:val="18"/>
              </w:rPr>
              <w:t>7</w:t>
            </w:r>
          </w:p>
        </w:tc>
        <w:tc>
          <w:tcPr>
            <w:tcW w:w="3180" w:type="dxa"/>
            <w:tcMar>
              <w:top w:w="0" w:type="dxa"/>
              <w:bottom w:w="0" w:type="dxa"/>
            </w:tcMar>
            <w:vAlign w:val="center"/>
          </w:tcPr>
          <w:p w14:paraId="0E6EDD3B" w14:textId="77777777" w:rsidR="001C2E41"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E29CCB7" w14:textId="77777777" w:rsidR="001C2E41" w:rsidRDefault="00000000">
            <w:pPr>
              <w:keepNext/>
              <w:keepLines/>
              <w:spacing w:after="0" w:line="240" w:lineRule="auto"/>
            </w:pPr>
            <w:r>
              <w:rPr>
                <w:sz w:val="18"/>
              </w:rPr>
              <w:t>7</w:t>
            </w:r>
          </w:p>
        </w:tc>
        <w:tc>
          <w:tcPr>
            <w:tcW w:w="1860" w:type="dxa"/>
            <w:tcMar>
              <w:top w:w="0" w:type="dxa"/>
              <w:bottom w:w="0" w:type="dxa"/>
            </w:tcMar>
            <w:vAlign w:val="center"/>
          </w:tcPr>
          <w:p w14:paraId="349F6FBC" w14:textId="77777777" w:rsidR="001C2E41" w:rsidRDefault="00000000">
            <w:pPr>
              <w:keepNext/>
              <w:keepLines/>
              <w:spacing w:after="0" w:line="240" w:lineRule="auto"/>
              <w:jc w:val="right"/>
            </w:pPr>
            <w:r>
              <w:rPr>
                <w:sz w:val="18"/>
              </w:rPr>
              <w:t>0,00</w:t>
            </w:r>
          </w:p>
        </w:tc>
        <w:tc>
          <w:tcPr>
            <w:tcW w:w="1860" w:type="dxa"/>
            <w:tcMar>
              <w:top w:w="0" w:type="dxa"/>
              <w:bottom w:w="0" w:type="dxa"/>
            </w:tcMar>
            <w:vAlign w:val="center"/>
          </w:tcPr>
          <w:p w14:paraId="638E3E4F" w14:textId="77777777" w:rsidR="001C2E41" w:rsidRDefault="00000000">
            <w:pPr>
              <w:keepNext/>
              <w:keepLines/>
              <w:spacing w:after="0" w:line="240" w:lineRule="auto"/>
              <w:jc w:val="right"/>
            </w:pPr>
            <w:r>
              <w:rPr>
                <w:sz w:val="18"/>
              </w:rPr>
              <w:t>0,00</w:t>
            </w:r>
          </w:p>
        </w:tc>
        <w:tc>
          <w:tcPr>
            <w:tcW w:w="700" w:type="dxa"/>
            <w:tcMar>
              <w:top w:w="0" w:type="dxa"/>
              <w:bottom w:w="0" w:type="dxa"/>
            </w:tcMar>
            <w:vAlign w:val="center"/>
          </w:tcPr>
          <w:p w14:paraId="62F953AF" w14:textId="77777777" w:rsidR="001C2E41" w:rsidRDefault="00000000">
            <w:pPr>
              <w:keepNext/>
              <w:keepLines/>
              <w:spacing w:after="0" w:line="240" w:lineRule="auto"/>
              <w:jc w:val="right"/>
            </w:pPr>
            <w:r>
              <w:rPr>
                <w:sz w:val="18"/>
              </w:rPr>
              <w:t>-</w:t>
            </w:r>
          </w:p>
        </w:tc>
      </w:tr>
      <w:tr w:rsidR="001C2E41" w14:paraId="2A8E87F0" w14:textId="77777777">
        <w:tblPrEx>
          <w:tblCellMar>
            <w:top w:w="0" w:type="dxa"/>
            <w:bottom w:w="0" w:type="dxa"/>
          </w:tblCellMar>
        </w:tblPrEx>
        <w:trPr>
          <w:cantSplit/>
          <w:trHeight w:val="560"/>
        </w:trPr>
        <w:tc>
          <w:tcPr>
            <w:tcW w:w="700" w:type="dxa"/>
            <w:tcMar>
              <w:top w:w="0" w:type="dxa"/>
              <w:bottom w:w="0" w:type="dxa"/>
            </w:tcMar>
            <w:vAlign w:val="center"/>
          </w:tcPr>
          <w:p w14:paraId="7CB928B1" w14:textId="77777777" w:rsidR="001C2E41" w:rsidRDefault="00000000">
            <w:pPr>
              <w:keepNext/>
              <w:keepLines/>
              <w:spacing w:after="0" w:line="240" w:lineRule="auto"/>
            </w:pPr>
            <w:r>
              <w:rPr>
                <w:sz w:val="18"/>
              </w:rPr>
              <w:t>4</w:t>
            </w:r>
          </w:p>
        </w:tc>
        <w:tc>
          <w:tcPr>
            <w:tcW w:w="3180" w:type="dxa"/>
            <w:tcMar>
              <w:top w:w="0" w:type="dxa"/>
              <w:bottom w:w="0" w:type="dxa"/>
            </w:tcMar>
            <w:vAlign w:val="center"/>
          </w:tcPr>
          <w:p w14:paraId="665AFB2B" w14:textId="77777777" w:rsidR="001C2E41"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B629DFA" w14:textId="77777777" w:rsidR="001C2E41" w:rsidRDefault="00000000">
            <w:pPr>
              <w:keepNext/>
              <w:keepLines/>
              <w:spacing w:after="0" w:line="240" w:lineRule="auto"/>
            </w:pPr>
            <w:r>
              <w:rPr>
                <w:sz w:val="18"/>
              </w:rPr>
              <w:t>4</w:t>
            </w:r>
          </w:p>
        </w:tc>
        <w:tc>
          <w:tcPr>
            <w:tcW w:w="1860" w:type="dxa"/>
            <w:tcMar>
              <w:top w:w="0" w:type="dxa"/>
              <w:bottom w:w="0" w:type="dxa"/>
            </w:tcMar>
            <w:vAlign w:val="center"/>
          </w:tcPr>
          <w:p w14:paraId="2153553E" w14:textId="77777777" w:rsidR="001C2E41" w:rsidRDefault="00000000">
            <w:pPr>
              <w:keepNext/>
              <w:keepLines/>
              <w:spacing w:after="0" w:line="240" w:lineRule="auto"/>
              <w:jc w:val="right"/>
            </w:pPr>
            <w:r>
              <w:rPr>
                <w:sz w:val="18"/>
              </w:rPr>
              <w:t>254.738.221,33</w:t>
            </w:r>
          </w:p>
        </w:tc>
        <w:tc>
          <w:tcPr>
            <w:tcW w:w="1860" w:type="dxa"/>
            <w:tcMar>
              <w:top w:w="0" w:type="dxa"/>
              <w:bottom w:w="0" w:type="dxa"/>
            </w:tcMar>
            <w:vAlign w:val="center"/>
          </w:tcPr>
          <w:p w14:paraId="14F9E1B3" w14:textId="77777777" w:rsidR="001C2E41" w:rsidRDefault="00000000">
            <w:pPr>
              <w:keepNext/>
              <w:keepLines/>
              <w:spacing w:after="0" w:line="240" w:lineRule="auto"/>
              <w:jc w:val="right"/>
            </w:pPr>
            <w:r>
              <w:rPr>
                <w:sz w:val="18"/>
              </w:rPr>
              <w:t>314.474.890,81</w:t>
            </w:r>
          </w:p>
        </w:tc>
        <w:tc>
          <w:tcPr>
            <w:tcW w:w="700" w:type="dxa"/>
            <w:tcMar>
              <w:top w:w="0" w:type="dxa"/>
              <w:bottom w:w="0" w:type="dxa"/>
            </w:tcMar>
            <w:vAlign w:val="center"/>
          </w:tcPr>
          <w:p w14:paraId="51545004" w14:textId="77777777" w:rsidR="001C2E41" w:rsidRDefault="00000000">
            <w:pPr>
              <w:keepNext/>
              <w:keepLines/>
              <w:spacing w:after="0" w:line="240" w:lineRule="auto"/>
              <w:jc w:val="right"/>
            </w:pPr>
            <w:r>
              <w:rPr>
                <w:sz w:val="18"/>
              </w:rPr>
              <w:t>123,5</w:t>
            </w:r>
          </w:p>
        </w:tc>
      </w:tr>
      <w:tr w:rsidR="001C2E41" w14:paraId="2870F8CB" w14:textId="77777777">
        <w:tblPrEx>
          <w:tblCellMar>
            <w:top w:w="0" w:type="dxa"/>
            <w:bottom w:w="0" w:type="dxa"/>
          </w:tblCellMar>
        </w:tblPrEx>
        <w:trPr>
          <w:cantSplit/>
          <w:trHeight w:val="560"/>
        </w:trPr>
        <w:tc>
          <w:tcPr>
            <w:tcW w:w="700" w:type="dxa"/>
            <w:tcMar>
              <w:top w:w="0" w:type="dxa"/>
              <w:bottom w:w="0" w:type="dxa"/>
            </w:tcMar>
            <w:vAlign w:val="center"/>
          </w:tcPr>
          <w:p w14:paraId="3901DDE7" w14:textId="77777777" w:rsidR="001C2E41" w:rsidRDefault="001C2E41">
            <w:pPr>
              <w:keepNext/>
              <w:keepLines/>
              <w:spacing w:after="0" w:line="240" w:lineRule="auto"/>
            </w:pPr>
          </w:p>
        </w:tc>
        <w:tc>
          <w:tcPr>
            <w:tcW w:w="3180" w:type="dxa"/>
            <w:tcMar>
              <w:top w:w="0" w:type="dxa"/>
              <w:bottom w:w="0" w:type="dxa"/>
            </w:tcMar>
            <w:vAlign w:val="center"/>
          </w:tcPr>
          <w:p w14:paraId="17AAA6FC" w14:textId="77777777" w:rsidR="001C2E41"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8D4D0A4" w14:textId="77777777" w:rsidR="001C2E41" w:rsidRDefault="00000000">
            <w:pPr>
              <w:keepNext/>
              <w:keepLines/>
              <w:spacing w:after="0" w:line="240" w:lineRule="auto"/>
            </w:pPr>
            <w:r>
              <w:rPr>
                <w:b/>
                <w:sz w:val="18"/>
              </w:rPr>
              <w:t>Y002</w:t>
            </w:r>
          </w:p>
        </w:tc>
        <w:tc>
          <w:tcPr>
            <w:tcW w:w="1860" w:type="dxa"/>
            <w:tcMar>
              <w:top w:w="0" w:type="dxa"/>
              <w:bottom w:w="0" w:type="dxa"/>
            </w:tcMar>
            <w:vAlign w:val="center"/>
          </w:tcPr>
          <w:p w14:paraId="6754D4CE" w14:textId="77777777" w:rsidR="001C2E41" w:rsidRDefault="00000000">
            <w:pPr>
              <w:keepNext/>
              <w:keepLines/>
              <w:spacing w:after="0" w:line="240" w:lineRule="auto"/>
              <w:jc w:val="right"/>
            </w:pPr>
            <w:r>
              <w:rPr>
                <w:b/>
                <w:sz w:val="18"/>
              </w:rPr>
              <w:t>254.738.221,33</w:t>
            </w:r>
          </w:p>
        </w:tc>
        <w:tc>
          <w:tcPr>
            <w:tcW w:w="1860" w:type="dxa"/>
            <w:tcMar>
              <w:top w:w="0" w:type="dxa"/>
              <w:bottom w:w="0" w:type="dxa"/>
            </w:tcMar>
            <w:vAlign w:val="center"/>
          </w:tcPr>
          <w:p w14:paraId="3C74C9A3" w14:textId="77777777" w:rsidR="001C2E41" w:rsidRDefault="00000000">
            <w:pPr>
              <w:keepNext/>
              <w:keepLines/>
              <w:spacing w:after="0" w:line="240" w:lineRule="auto"/>
              <w:jc w:val="right"/>
            </w:pPr>
            <w:r>
              <w:rPr>
                <w:b/>
                <w:sz w:val="18"/>
              </w:rPr>
              <w:t>314.474.890,81</w:t>
            </w:r>
          </w:p>
        </w:tc>
        <w:tc>
          <w:tcPr>
            <w:tcW w:w="700" w:type="dxa"/>
            <w:tcMar>
              <w:top w:w="0" w:type="dxa"/>
              <w:bottom w:w="0" w:type="dxa"/>
            </w:tcMar>
            <w:vAlign w:val="center"/>
          </w:tcPr>
          <w:p w14:paraId="67685425" w14:textId="77777777" w:rsidR="001C2E41" w:rsidRDefault="00000000">
            <w:pPr>
              <w:keepNext/>
              <w:keepLines/>
              <w:spacing w:after="0" w:line="240" w:lineRule="auto"/>
              <w:jc w:val="right"/>
            </w:pPr>
            <w:r>
              <w:rPr>
                <w:b/>
                <w:sz w:val="18"/>
              </w:rPr>
              <w:t>123,5</w:t>
            </w:r>
          </w:p>
        </w:tc>
      </w:tr>
      <w:tr w:rsidR="001C2E41" w14:paraId="60E03B43" w14:textId="77777777">
        <w:tblPrEx>
          <w:tblCellMar>
            <w:top w:w="0" w:type="dxa"/>
            <w:bottom w:w="0" w:type="dxa"/>
          </w:tblCellMar>
        </w:tblPrEx>
        <w:trPr>
          <w:cantSplit/>
          <w:trHeight w:val="560"/>
        </w:trPr>
        <w:tc>
          <w:tcPr>
            <w:tcW w:w="700" w:type="dxa"/>
            <w:tcMar>
              <w:top w:w="0" w:type="dxa"/>
              <w:bottom w:w="0" w:type="dxa"/>
            </w:tcMar>
            <w:vAlign w:val="center"/>
          </w:tcPr>
          <w:p w14:paraId="11054610" w14:textId="77777777" w:rsidR="001C2E41" w:rsidRDefault="00000000">
            <w:pPr>
              <w:keepNext/>
              <w:keepLines/>
              <w:spacing w:after="0" w:line="240" w:lineRule="auto"/>
            </w:pPr>
            <w:r>
              <w:rPr>
                <w:sz w:val="18"/>
              </w:rPr>
              <w:t>8</w:t>
            </w:r>
          </w:p>
        </w:tc>
        <w:tc>
          <w:tcPr>
            <w:tcW w:w="3180" w:type="dxa"/>
            <w:tcMar>
              <w:top w:w="0" w:type="dxa"/>
              <w:bottom w:w="0" w:type="dxa"/>
            </w:tcMar>
            <w:vAlign w:val="center"/>
          </w:tcPr>
          <w:p w14:paraId="125D7DC7" w14:textId="77777777" w:rsidR="001C2E41"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7AEE3FB" w14:textId="77777777" w:rsidR="001C2E41" w:rsidRDefault="00000000">
            <w:pPr>
              <w:keepNext/>
              <w:keepLines/>
              <w:spacing w:after="0" w:line="240" w:lineRule="auto"/>
            </w:pPr>
            <w:r>
              <w:rPr>
                <w:sz w:val="18"/>
              </w:rPr>
              <w:t>8</w:t>
            </w:r>
          </w:p>
        </w:tc>
        <w:tc>
          <w:tcPr>
            <w:tcW w:w="1860" w:type="dxa"/>
            <w:tcMar>
              <w:top w:w="0" w:type="dxa"/>
              <w:bottom w:w="0" w:type="dxa"/>
            </w:tcMar>
            <w:vAlign w:val="center"/>
          </w:tcPr>
          <w:p w14:paraId="7B6CDFDC" w14:textId="77777777" w:rsidR="001C2E41" w:rsidRDefault="00000000">
            <w:pPr>
              <w:keepNext/>
              <w:keepLines/>
              <w:spacing w:after="0" w:line="240" w:lineRule="auto"/>
              <w:jc w:val="right"/>
            </w:pPr>
            <w:r>
              <w:rPr>
                <w:sz w:val="18"/>
              </w:rPr>
              <w:t>60.014.110,59</w:t>
            </w:r>
          </w:p>
        </w:tc>
        <w:tc>
          <w:tcPr>
            <w:tcW w:w="1860" w:type="dxa"/>
            <w:tcMar>
              <w:top w:w="0" w:type="dxa"/>
              <w:bottom w:w="0" w:type="dxa"/>
            </w:tcMar>
            <w:vAlign w:val="center"/>
          </w:tcPr>
          <w:p w14:paraId="1AD4E64C" w14:textId="77777777" w:rsidR="001C2E41" w:rsidRDefault="00000000">
            <w:pPr>
              <w:keepNext/>
              <w:keepLines/>
              <w:spacing w:after="0" w:line="240" w:lineRule="auto"/>
              <w:jc w:val="right"/>
            </w:pPr>
            <w:r>
              <w:rPr>
                <w:sz w:val="18"/>
              </w:rPr>
              <w:t>55.000.000,00</w:t>
            </w:r>
          </w:p>
        </w:tc>
        <w:tc>
          <w:tcPr>
            <w:tcW w:w="700" w:type="dxa"/>
            <w:tcMar>
              <w:top w:w="0" w:type="dxa"/>
              <w:bottom w:w="0" w:type="dxa"/>
            </w:tcMar>
            <w:vAlign w:val="center"/>
          </w:tcPr>
          <w:p w14:paraId="7493B052" w14:textId="77777777" w:rsidR="001C2E41" w:rsidRDefault="00000000">
            <w:pPr>
              <w:keepNext/>
              <w:keepLines/>
              <w:spacing w:after="0" w:line="240" w:lineRule="auto"/>
              <w:jc w:val="right"/>
            </w:pPr>
            <w:r>
              <w:rPr>
                <w:sz w:val="18"/>
              </w:rPr>
              <w:t>91,6</w:t>
            </w:r>
          </w:p>
        </w:tc>
      </w:tr>
      <w:tr w:rsidR="001C2E41" w14:paraId="2A911D37" w14:textId="77777777">
        <w:tblPrEx>
          <w:tblCellMar>
            <w:top w:w="0" w:type="dxa"/>
            <w:bottom w:w="0" w:type="dxa"/>
          </w:tblCellMar>
        </w:tblPrEx>
        <w:trPr>
          <w:cantSplit/>
          <w:trHeight w:val="560"/>
        </w:trPr>
        <w:tc>
          <w:tcPr>
            <w:tcW w:w="700" w:type="dxa"/>
            <w:tcMar>
              <w:top w:w="0" w:type="dxa"/>
              <w:bottom w:w="0" w:type="dxa"/>
            </w:tcMar>
            <w:vAlign w:val="center"/>
          </w:tcPr>
          <w:p w14:paraId="154E74C0" w14:textId="77777777" w:rsidR="001C2E41" w:rsidRDefault="00000000">
            <w:pPr>
              <w:keepNext/>
              <w:keepLines/>
              <w:spacing w:after="0" w:line="240" w:lineRule="auto"/>
            </w:pPr>
            <w:r>
              <w:rPr>
                <w:sz w:val="18"/>
              </w:rPr>
              <w:t>5</w:t>
            </w:r>
          </w:p>
        </w:tc>
        <w:tc>
          <w:tcPr>
            <w:tcW w:w="3180" w:type="dxa"/>
            <w:tcMar>
              <w:top w:w="0" w:type="dxa"/>
              <w:bottom w:w="0" w:type="dxa"/>
            </w:tcMar>
            <w:vAlign w:val="center"/>
          </w:tcPr>
          <w:p w14:paraId="7DE1A371" w14:textId="77777777" w:rsidR="001C2E41"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4482102" w14:textId="77777777" w:rsidR="001C2E41" w:rsidRDefault="00000000">
            <w:pPr>
              <w:keepNext/>
              <w:keepLines/>
              <w:spacing w:after="0" w:line="240" w:lineRule="auto"/>
            </w:pPr>
            <w:r>
              <w:rPr>
                <w:sz w:val="18"/>
              </w:rPr>
              <w:t>5</w:t>
            </w:r>
          </w:p>
        </w:tc>
        <w:tc>
          <w:tcPr>
            <w:tcW w:w="1860" w:type="dxa"/>
            <w:tcMar>
              <w:top w:w="0" w:type="dxa"/>
              <w:bottom w:w="0" w:type="dxa"/>
            </w:tcMar>
            <w:vAlign w:val="center"/>
          </w:tcPr>
          <w:p w14:paraId="6E272669" w14:textId="77777777" w:rsidR="001C2E41" w:rsidRDefault="00000000">
            <w:pPr>
              <w:keepNext/>
              <w:keepLines/>
              <w:spacing w:after="0" w:line="240" w:lineRule="auto"/>
              <w:jc w:val="right"/>
            </w:pPr>
            <w:r>
              <w:rPr>
                <w:sz w:val="18"/>
              </w:rPr>
              <w:t>101.755.959,73</w:t>
            </w:r>
          </w:p>
        </w:tc>
        <w:tc>
          <w:tcPr>
            <w:tcW w:w="1860" w:type="dxa"/>
            <w:tcMar>
              <w:top w:w="0" w:type="dxa"/>
              <w:bottom w:w="0" w:type="dxa"/>
            </w:tcMar>
            <w:vAlign w:val="center"/>
          </w:tcPr>
          <w:p w14:paraId="6EF97E6E" w14:textId="77777777" w:rsidR="001C2E41" w:rsidRDefault="00000000">
            <w:pPr>
              <w:keepNext/>
              <w:keepLines/>
              <w:spacing w:after="0" w:line="240" w:lineRule="auto"/>
              <w:jc w:val="right"/>
            </w:pPr>
            <w:r>
              <w:rPr>
                <w:sz w:val="18"/>
              </w:rPr>
              <w:t>65.669.232,69</w:t>
            </w:r>
          </w:p>
        </w:tc>
        <w:tc>
          <w:tcPr>
            <w:tcW w:w="700" w:type="dxa"/>
            <w:tcMar>
              <w:top w:w="0" w:type="dxa"/>
              <w:bottom w:w="0" w:type="dxa"/>
            </w:tcMar>
            <w:vAlign w:val="center"/>
          </w:tcPr>
          <w:p w14:paraId="74743E90" w14:textId="77777777" w:rsidR="001C2E41" w:rsidRDefault="00000000">
            <w:pPr>
              <w:keepNext/>
              <w:keepLines/>
              <w:spacing w:after="0" w:line="240" w:lineRule="auto"/>
              <w:jc w:val="right"/>
            </w:pPr>
            <w:r>
              <w:rPr>
                <w:sz w:val="18"/>
              </w:rPr>
              <w:t>64,5</w:t>
            </w:r>
          </w:p>
        </w:tc>
      </w:tr>
      <w:tr w:rsidR="001C2E41" w14:paraId="0E4F27A0" w14:textId="77777777">
        <w:tblPrEx>
          <w:tblCellMar>
            <w:top w:w="0" w:type="dxa"/>
            <w:bottom w:w="0" w:type="dxa"/>
          </w:tblCellMar>
        </w:tblPrEx>
        <w:trPr>
          <w:cantSplit/>
          <w:trHeight w:val="560"/>
        </w:trPr>
        <w:tc>
          <w:tcPr>
            <w:tcW w:w="700" w:type="dxa"/>
            <w:tcMar>
              <w:top w:w="0" w:type="dxa"/>
              <w:bottom w:w="0" w:type="dxa"/>
            </w:tcMar>
            <w:vAlign w:val="center"/>
          </w:tcPr>
          <w:p w14:paraId="1C1A870C" w14:textId="77777777" w:rsidR="001C2E41" w:rsidRDefault="001C2E41">
            <w:pPr>
              <w:keepNext/>
              <w:keepLines/>
              <w:spacing w:after="0" w:line="240" w:lineRule="auto"/>
            </w:pPr>
          </w:p>
        </w:tc>
        <w:tc>
          <w:tcPr>
            <w:tcW w:w="3180" w:type="dxa"/>
            <w:tcMar>
              <w:top w:w="0" w:type="dxa"/>
              <w:bottom w:w="0" w:type="dxa"/>
            </w:tcMar>
            <w:vAlign w:val="center"/>
          </w:tcPr>
          <w:p w14:paraId="40BB9673" w14:textId="77777777" w:rsidR="001C2E41"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7787915E" w14:textId="77777777" w:rsidR="001C2E41" w:rsidRDefault="00000000">
            <w:pPr>
              <w:keepNext/>
              <w:keepLines/>
              <w:spacing w:after="0" w:line="240" w:lineRule="auto"/>
            </w:pPr>
            <w:r>
              <w:rPr>
                <w:b/>
                <w:sz w:val="18"/>
              </w:rPr>
              <w:t>Y003</w:t>
            </w:r>
          </w:p>
        </w:tc>
        <w:tc>
          <w:tcPr>
            <w:tcW w:w="1860" w:type="dxa"/>
            <w:tcMar>
              <w:top w:w="0" w:type="dxa"/>
              <w:bottom w:w="0" w:type="dxa"/>
            </w:tcMar>
            <w:vAlign w:val="center"/>
          </w:tcPr>
          <w:p w14:paraId="26E0A9F4" w14:textId="77777777" w:rsidR="001C2E41" w:rsidRDefault="00000000">
            <w:pPr>
              <w:keepNext/>
              <w:keepLines/>
              <w:spacing w:after="0" w:line="240" w:lineRule="auto"/>
              <w:jc w:val="right"/>
            </w:pPr>
            <w:r>
              <w:rPr>
                <w:b/>
                <w:sz w:val="18"/>
              </w:rPr>
              <w:t>41.741.849,14</w:t>
            </w:r>
          </w:p>
        </w:tc>
        <w:tc>
          <w:tcPr>
            <w:tcW w:w="1860" w:type="dxa"/>
            <w:tcMar>
              <w:top w:w="0" w:type="dxa"/>
              <w:bottom w:w="0" w:type="dxa"/>
            </w:tcMar>
            <w:vAlign w:val="center"/>
          </w:tcPr>
          <w:p w14:paraId="13E4B136" w14:textId="77777777" w:rsidR="001C2E41" w:rsidRDefault="00000000">
            <w:pPr>
              <w:keepNext/>
              <w:keepLines/>
              <w:spacing w:after="0" w:line="240" w:lineRule="auto"/>
              <w:jc w:val="right"/>
            </w:pPr>
            <w:r>
              <w:rPr>
                <w:b/>
                <w:sz w:val="18"/>
              </w:rPr>
              <w:t>10.669.232,69</w:t>
            </w:r>
          </w:p>
        </w:tc>
        <w:tc>
          <w:tcPr>
            <w:tcW w:w="700" w:type="dxa"/>
            <w:tcMar>
              <w:top w:w="0" w:type="dxa"/>
              <w:bottom w:w="0" w:type="dxa"/>
            </w:tcMar>
            <w:vAlign w:val="center"/>
          </w:tcPr>
          <w:p w14:paraId="476F279A" w14:textId="77777777" w:rsidR="001C2E41" w:rsidRDefault="00000000">
            <w:pPr>
              <w:keepNext/>
              <w:keepLines/>
              <w:spacing w:after="0" w:line="240" w:lineRule="auto"/>
              <w:jc w:val="right"/>
            </w:pPr>
            <w:r>
              <w:rPr>
                <w:b/>
                <w:sz w:val="18"/>
              </w:rPr>
              <w:t>25,6</w:t>
            </w:r>
          </w:p>
        </w:tc>
      </w:tr>
      <w:tr w:rsidR="001C2E41" w14:paraId="12B2FBAC" w14:textId="77777777">
        <w:tblPrEx>
          <w:tblCellMar>
            <w:top w:w="0" w:type="dxa"/>
            <w:bottom w:w="0" w:type="dxa"/>
          </w:tblCellMar>
        </w:tblPrEx>
        <w:trPr>
          <w:cantSplit/>
          <w:trHeight w:val="560"/>
        </w:trPr>
        <w:tc>
          <w:tcPr>
            <w:tcW w:w="700" w:type="dxa"/>
            <w:tcMar>
              <w:top w:w="0" w:type="dxa"/>
              <w:bottom w:w="0" w:type="dxa"/>
            </w:tcMar>
            <w:vAlign w:val="center"/>
          </w:tcPr>
          <w:p w14:paraId="0DAFCF17" w14:textId="77777777" w:rsidR="001C2E41" w:rsidRDefault="001C2E41">
            <w:pPr>
              <w:keepNext/>
              <w:keepLines/>
              <w:spacing w:after="0" w:line="240" w:lineRule="auto"/>
            </w:pPr>
          </w:p>
        </w:tc>
        <w:tc>
          <w:tcPr>
            <w:tcW w:w="3180" w:type="dxa"/>
            <w:tcMar>
              <w:top w:w="0" w:type="dxa"/>
              <w:bottom w:w="0" w:type="dxa"/>
            </w:tcMar>
            <w:vAlign w:val="center"/>
          </w:tcPr>
          <w:p w14:paraId="2CA84E0B" w14:textId="77777777" w:rsidR="001C2E41"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4FC6C7AC" w14:textId="77777777" w:rsidR="001C2E41" w:rsidRDefault="00000000">
            <w:pPr>
              <w:keepNext/>
              <w:keepLines/>
              <w:spacing w:after="0" w:line="240" w:lineRule="auto"/>
            </w:pPr>
            <w:r>
              <w:rPr>
                <w:b/>
                <w:sz w:val="18"/>
              </w:rPr>
              <w:t>Y005</w:t>
            </w:r>
          </w:p>
        </w:tc>
        <w:tc>
          <w:tcPr>
            <w:tcW w:w="1860" w:type="dxa"/>
            <w:tcMar>
              <w:top w:w="0" w:type="dxa"/>
              <w:bottom w:w="0" w:type="dxa"/>
            </w:tcMar>
            <w:vAlign w:val="center"/>
          </w:tcPr>
          <w:p w14:paraId="17E6FCDC" w14:textId="77777777" w:rsidR="001C2E41" w:rsidRDefault="00000000">
            <w:pPr>
              <w:keepNext/>
              <w:keepLines/>
              <w:spacing w:after="0" w:line="240" w:lineRule="auto"/>
              <w:jc w:val="right"/>
            </w:pPr>
            <w:r>
              <w:rPr>
                <w:b/>
                <w:sz w:val="18"/>
              </w:rPr>
              <w:t>48.904.314,64</w:t>
            </w:r>
          </w:p>
        </w:tc>
        <w:tc>
          <w:tcPr>
            <w:tcW w:w="1860" w:type="dxa"/>
            <w:tcMar>
              <w:top w:w="0" w:type="dxa"/>
              <w:bottom w:w="0" w:type="dxa"/>
            </w:tcMar>
            <w:vAlign w:val="center"/>
          </w:tcPr>
          <w:p w14:paraId="137F4291" w14:textId="77777777" w:rsidR="001C2E41" w:rsidRDefault="00000000">
            <w:pPr>
              <w:keepNext/>
              <w:keepLines/>
              <w:spacing w:after="0" w:line="240" w:lineRule="auto"/>
              <w:jc w:val="right"/>
            </w:pPr>
            <w:r>
              <w:rPr>
                <w:b/>
                <w:sz w:val="18"/>
              </w:rPr>
              <w:t>10.422.687,80</w:t>
            </w:r>
          </w:p>
        </w:tc>
        <w:tc>
          <w:tcPr>
            <w:tcW w:w="700" w:type="dxa"/>
            <w:tcMar>
              <w:top w:w="0" w:type="dxa"/>
              <w:bottom w:w="0" w:type="dxa"/>
            </w:tcMar>
            <w:vAlign w:val="center"/>
          </w:tcPr>
          <w:p w14:paraId="14296276" w14:textId="77777777" w:rsidR="001C2E41" w:rsidRDefault="00000000">
            <w:pPr>
              <w:keepNext/>
              <w:keepLines/>
              <w:spacing w:after="0" w:line="240" w:lineRule="auto"/>
              <w:jc w:val="right"/>
            </w:pPr>
            <w:r>
              <w:rPr>
                <w:b/>
                <w:sz w:val="18"/>
              </w:rPr>
              <w:t>21,3</w:t>
            </w:r>
          </w:p>
        </w:tc>
      </w:tr>
    </w:tbl>
    <w:p w14:paraId="776DAECD" w14:textId="77777777" w:rsidR="001C2E41" w:rsidRDefault="001C2E41">
      <w:pPr>
        <w:spacing w:after="0"/>
      </w:pPr>
    </w:p>
    <w:p w14:paraId="45D7ECF4" w14:textId="77777777" w:rsidR="001C2E41" w:rsidRDefault="00000000">
      <w:r>
        <w:t>Prihodi poslovanja u razdoblju od 01.01.-31.12.2025. ostvareni su u iznosu od 546.361.852,63 EUR. Najznačajnije povećanje prihoda poslovanja ostvareno je od kapitalnih i tekućih pomoći proračunu i izvanproračunskim korisnicima iz drugih proračuna. Najznačajnije smanjenje prihoda poslovanja bilježi se na kapitalnim pomoćima od institucija i tijela EU.</w:t>
      </w:r>
    </w:p>
    <w:p w14:paraId="07AA177F" w14:textId="77777777" w:rsidR="001C2E41" w:rsidRDefault="00000000">
      <w:r>
        <w:t> </w:t>
      </w:r>
    </w:p>
    <w:p w14:paraId="23542839" w14:textId="77777777" w:rsidR="001C2E41" w:rsidRDefault="00000000">
      <w:r>
        <w:lastRenderedPageBreak/>
        <w:t>Rashodi poslovanja u razdoblju od 01.01.-31.12.2025. ostvareni su u iznosu od 231.640.446,93 EUR. Najznačajnije povećanje rashoda poslovanja evidentirano je na rashodima za zaposlene uslijed povećanja plaća te rashodima za usluge koje se odnose na tekuće održavanje. Najznačajnije smanjenje rashoda poslovanja bilježi se na financijskim rashodima, odnosno na rashodima za kamate za primljene kredite i zajmove od međunarodnih institucija i tijela te ostalih financijskih institucija u javnom sektoru, smanjenje se odnosi na preuzimanje kredita od strane RH početkom 2025. godine.</w:t>
      </w:r>
    </w:p>
    <w:p w14:paraId="6E97D850" w14:textId="77777777" w:rsidR="001C2E41" w:rsidRDefault="00000000">
      <w:r>
        <w:t>U razdoblju od 01.01.-31.12.2025. nema ostvarenih prihoda od prodaje nefinancijske imovine, dok su rashodi za nabavu nefinancijske imovine ostvareni u iznos od 314.474.890,81 EUR, u najvećem dijelu evidentirani rashodi odnose se na investicijska ulaganja na obnovu željeznice.</w:t>
      </w:r>
    </w:p>
    <w:p w14:paraId="52526B73" w14:textId="77777777" w:rsidR="001C2E41" w:rsidRDefault="00000000">
      <w:r>
        <w:t>Primici od financijske imovine i zaduživanja u promatranom razdoblju ostvareni su u iznosu od 55.000.000,00 EUR, isti se odnose na primljene kredite i zajmove od kreditnih i ostalih financijskih institucija izvan javnog sektora (Hrvatska poštanska banka) u iznosu 30.000.000,00 EUR, a preostalih 25.000.000,00 EUR odnosi se na isplatu namire RH sukladno Nagodbi o uređenju imovinsko pravnih pitanja preostalih nakon podjele HŽ Hrvatske željeznice  d.o.o.</w:t>
      </w:r>
    </w:p>
    <w:p w14:paraId="3EF0F451" w14:textId="77777777" w:rsidR="001C2E41" w:rsidRDefault="00000000">
      <w:r>
        <w:t>Izdaci za financijsku imovinu i otplate zajmova evidentirani su u iznosu od 65.669.232,69 EUR, isti se odnose na otplatu glavnice primljenih kredita i zajmova od međunarodnih organizacija, institucija i tijela EU te inozemnih vlada (EBRD) u iznosu 5.074.214,00 EUR, otplatu glavnice primljenih kredita od tuzemnih kreditnih institucija izvan javnog sektora (Privredna banka Zagreb) u iznosu 10.834.520,31 EUR i (Erste banka) u iznosu 32.517.000,00 EUR te 16.769.360,78 EUR koji se odnose na dokapitalizaciju ovisnog društva Pružne građevine d.o.o.</w:t>
      </w:r>
    </w:p>
    <w:p w14:paraId="3CD9A397" w14:textId="77777777" w:rsidR="001C2E41" w:rsidRDefault="00000000">
      <w:r>
        <w:t>U razdoblju od 01. siječnja - 31. prosinca 2025. godine ostvaren je višak prihoda poslovanja u iznosu od 314.721.435,70 EUR, manjak prihoda od nefinancijske imovine u iznosu od 314.474.890,81 EUR, manjak primitaka od financijske imovine i zaduživanja u iznosu od 10.669.232,69 EUR, slijedom čega je na kraju izvještajnog razdoblja ostvaren ukupan manjak prihoda i primitka u iznosu od 10.422.687,80 EUR.</w:t>
      </w:r>
    </w:p>
    <w:p w14:paraId="04659B5F" w14:textId="77777777" w:rsidR="001C2E41" w:rsidRDefault="00000000">
      <w:r>
        <w:br/>
      </w:r>
    </w:p>
    <w:p w14:paraId="490631E0" w14:textId="77777777" w:rsidR="001C2E41"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78AC35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B43838"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DD67A7"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DE4B0F"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F24CAC"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74549A"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DE63ED" w14:textId="77777777" w:rsidR="001C2E41" w:rsidRDefault="00000000">
            <w:pPr>
              <w:keepNext/>
              <w:keepLines/>
              <w:spacing w:after="0" w:line="240" w:lineRule="auto"/>
              <w:jc w:val="center"/>
            </w:pPr>
            <w:r>
              <w:rPr>
                <w:b/>
                <w:sz w:val="18"/>
              </w:rPr>
              <w:t>Indeks (%)</w:t>
            </w:r>
          </w:p>
        </w:tc>
      </w:tr>
      <w:tr w:rsidR="001C2E41" w14:paraId="3F4CCA43" w14:textId="77777777">
        <w:tblPrEx>
          <w:tblCellMar>
            <w:top w:w="0" w:type="dxa"/>
            <w:bottom w:w="0" w:type="dxa"/>
          </w:tblCellMar>
        </w:tblPrEx>
        <w:trPr>
          <w:cantSplit/>
          <w:trHeight w:val="560"/>
        </w:trPr>
        <w:tc>
          <w:tcPr>
            <w:tcW w:w="700" w:type="dxa"/>
            <w:tcMar>
              <w:top w:w="0" w:type="dxa"/>
              <w:bottom w:w="0" w:type="dxa"/>
            </w:tcMar>
            <w:vAlign w:val="center"/>
          </w:tcPr>
          <w:p w14:paraId="0191C2EC" w14:textId="77777777" w:rsidR="001C2E41" w:rsidRDefault="00000000">
            <w:pPr>
              <w:keepNext/>
              <w:keepLines/>
              <w:spacing w:after="0" w:line="240" w:lineRule="auto"/>
            </w:pPr>
            <w:r>
              <w:rPr>
                <w:sz w:val="18"/>
              </w:rPr>
              <w:t>63</w:t>
            </w:r>
          </w:p>
        </w:tc>
        <w:tc>
          <w:tcPr>
            <w:tcW w:w="3180" w:type="dxa"/>
            <w:tcMar>
              <w:top w:w="0" w:type="dxa"/>
              <w:bottom w:w="0" w:type="dxa"/>
            </w:tcMar>
            <w:vAlign w:val="center"/>
          </w:tcPr>
          <w:p w14:paraId="4FEF8703" w14:textId="77777777" w:rsidR="001C2E41"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331B6F89" w14:textId="77777777" w:rsidR="001C2E41" w:rsidRDefault="00000000">
            <w:pPr>
              <w:keepNext/>
              <w:keepLines/>
              <w:spacing w:after="0" w:line="240" w:lineRule="auto"/>
            </w:pPr>
            <w:r>
              <w:rPr>
                <w:sz w:val="18"/>
              </w:rPr>
              <w:t>63</w:t>
            </w:r>
          </w:p>
        </w:tc>
        <w:tc>
          <w:tcPr>
            <w:tcW w:w="1860" w:type="dxa"/>
            <w:tcMar>
              <w:top w:w="0" w:type="dxa"/>
              <w:bottom w:w="0" w:type="dxa"/>
            </w:tcMar>
            <w:vAlign w:val="center"/>
          </w:tcPr>
          <w:p w14:paraId="3E9299DC" w14:textId="77777777" w:rsidR="001C2E41" w:rsidRDefault="00000000">
            <w:pPr>
              <w:keepNext/>
              <w:keepLines/>
              <w:spacing w:after="0" w:line="240" w:lineRule="auto"/>
              <w:jc w:val="right"/>
            </w:pPr>
            <w:r>
              <w:rPr>
                <w:sz w:val="18"/>
              </w:rPr>
              <w:t>410.876.062,53</w:t>
            </w:r>
          </w:p>
        </w:tc>
        <w:tc>
          <w:tcPr>
            <w:tcW w:w="1860" w:type="dxa"/>
            <w:tcMar>
              <w:top w:w="0" w:type="dxa"/>
              <w:bottom w:w="0" w:type="dxa"/>
            </w:tcMar>
            <w:vAlign w:val="center"/>
          </w:tcPr>
          <w:p w14:paraId="19256484" w14:textId="77777777" w:rsidR="001C2E41" w:rsidRDefault="00000000">
            <w:pPr>
              <w:keepNext/>
              <w:keepLines/>
              <w:spacing w:after="0" w:line="240" w:lineRule="auto"/>
              <w:jc w:val="right"/>
            </w:pPr>
            <w:r>
              <w:rPr>
                <w:sz w:val="18"/>
              </w:rPr>
              <w:t>505.307.550,19</w:t>
            </w:r>
          </w:p>
        </w:tc>
        <w:tc>
          <w:tcPr>
            <w:tcW w:w="700" w:type="dxa"/>
            <w:tcMar>
              <w:top w:w="0" w:type="dxa"/>
              <w:bottom w:w="0" w:type="dxa"/>
            </w:tcMar>
            <w:vAlign w:val="center"/>
          </w:tcPr>
          <w:p w14:paraId="4A8DDC64" w14:textId="77777777" w:rsidR="001C2E41" w:rsidRDefault="00000000">
            <w:pPr>
              <w:keepNext/>
              <w:keepLines/>
              <w:spacing w:after="0" w:line="240" w:lineRule="auto"/>
              <w:jc w:val="right"/>
            </w:pPr>
            <w:r>
              <w:rPr>
                <w:sz w:val="18"/>
              </w:rPr>
              <w:t>123,0</w:t>
            </w:r>
          </w:p>
        </w:tc>
      </w:tr>
    </w:tbl>
    <w:p w14:paraId="7FF82F52" w14:textId="77777777" w:rsidR="001C2E41" w:rsidRDefault="001C2E41">
      <w:pPr>
        <w:spacing w:after="0"/>
      </w:pPr>
    </w:p>
    <w:p w14:paraId="6F3C6BD3" w14:textId="77777777" w:rsidR="001C2E41" w:rsidRDefault="00000000">
      <w:r>
        <w:t>Na ovoj poziciji su prikazani prihodi iz proračuna za podmirenje troškova upravljanja, organizacije i regulacije željezničkog prometa, isti su veći u odnosu na prethodno razdoblje.</w:t>
      </w:r>
    </w:p>
    <w:p w14:paraId="7C017469" w14:textId="77777777" w:rsidR="001C2E41" w:rsidRDefault="001C2E41"/>
    <w:p w14:paraId="5EDBDC99" w14:textId="77777777" w:rsidR="001C2E41"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3BBA05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AACE8C"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C29917"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77E517"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9C861C"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D1C973"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29FC1F" w14:textId="77777777" w:rsidR="001C2E41" w:rsidRDefault="00000000">
            <w:pPr>
              <w:keepNext/>
              <w:keepLines/>
              <w:spacing w:after="0" w:line="240" w:lineRule="auto"/>
              <w:jc w:val="center"/>
            </w:pPr>
            <w:r>
              <w:rPr>
                <w:b/>
                <w:sz w:val="18"/>
              </w:rPr>
              <w:t>Indeks (%)</w:t>
            </w:r>
          </w:p>
        </w:tc>
      </w:tr>
      <w:tr w:rsidR="001C2E41" w14:paraId="44377A13" w14:textId="77777777">
        <w:tblPrEx>
          <w:tblCellMar>
            <w:top w:w="0" w:type="dxa"/>
            <w:bottom w:w="0" w:type="dxa"/>
          </w:tblCellMar>
        </w:tblPrEx>
        <w:trPr>
          <w:cantSplit/>
          <w:trHeight w:val="560"/>
        </w:trPr>
        <w:tc>
          <w:tcPr>
            <w:tcW w:w="700" w:type="dxa"/>
            <w:tcMar>
              <w:top w:w="0" w:type="dxa"/>
              <w:bottom w:w="0" w:type="dxa"/>
            </w:tcMar>
            <w:vAlign w:val="center"/>
          </w:tcPr>
          <w:p w14:paraId="6A79BF6D" w14:textId="77777777" w:rsidR="001C2E41" w:rsidRDefault="00000000">
            <w:pPr>
              <w:keepNext/>
              <w:keepLines/>
              <w:spacing w:after="0" w:line="240" w:lineRule="auto"/>
            </w:pPr>
            <w:r>
              <w:rPr>
                <w:sz w:val="18"/>
              </w:rPr>
              <w:t>6331</w:t>
            </w:r>
          </w:p>
        </w:tc>
        <w:tc>
          <w:tcPr>
            <w:tcW w:w="3180" w:type="dxa"/>
            <w:tcMar>
              <w:top w:w="0" w:type="dxa"/>
              <w:bottom w:w="0" w:type="dxa"/>
            </w:tcMar>
            <w:vAlign w:val="center"/>
          </w:tcPr>
          <w:p w14:paraId="5BB1AE29" w14:textId="77777777" w:rsidR="001C2E41"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4A733482" w14:textId="77777777" w:rsidR="001C2E41" w:rsidRDefault="00000000">
            <w:pPr>
              <w:keepNext/>
              <w:keepLines/>
              <w:spacing w:after="0" w:line="240" w:lineRule="auto"/>
            </w:pPr>
            <w:r>
              <w:rPr>
                <w:sz w:val="18"/>
              </w:rPr>
              <w:t>6331</w:t>
            </w:r>
          </w:p>
        </w:tc>
        <w:tc>
          <w:tcPr>
            <w:tcW w:w="1860" w:type="dxa"/>
            <w:tcMar>
              <w:top w:w="0" w:type="dxa"/>
              <w:bottom w:w="0" w:type="dxa"/>
            </w:tcMar>
            <w:vAlign w:val="center"/>
          </w:tcPr>
          <w:p w14:paraId="40B2425B" w14:textId="77777777" w:rsidR="001C2E41" w:rsidRDefault="00000000">
            <w:pPr>
              <w:keepNext/>
              <w:keepLines/>
              <w:spacing w:after="0" w:line="240" w:lineRule="auto"/>
              <w:jc w:val="right"/>
            </w:pPr>
            <w:r>
              <w:rPr>
                <w:sz w:val="18"/>
              </w:rPr>
              <w:t>64.166.304,52</w:t>
            </w:r>
          </w:p>
        </w:tc>
        <w:tc>
          <w:tcPr>
            <w:tcW w:w="1860" w:type="dxa"/>
            <w:tcMar>
              <w:top w:w="0" w:type="dxa"/>
              <w:bottom w:w="0" w:type="dxa"/>
            </w:tcMar>
            <w:vAlign w:val="center"/>
          </w:tcPr>
          <w:p w14:paraId="11A882D0" w14:textId="77777777" w:rsidR="001C2E41" w:rsidRDefault="00000000">
            <w:pPr>
              <w:keepNext/>
              <w:keepLines/>
              <w:spacing w:after="0" w:line="240" w:lineRule="auto"/>
              <w:jc w:val="right"/>
            </w:pPr>
            <w:r>
              <w:rPr>
                <w:sz w:val="18"/>
              </w:rPr>
              <w:t>118.306.686,02</w:t>
            </w:r>
          </w:p>
        </w:tc>
        <w:tc>
          <w:tcPr>
            <w:tcW w:w="700" w:type="dxa"/>
            <w:tcMar>
              <w:top w:w="0" w:type="dxa"/>
              <w:bottom w:w="0" w:type="dxa"/>
            </w:tcMar>
            <w:vAlign w:val="center"/>
          </w:tcPr>
          <w:p w14:paraId="08AF32AB" w14:textId="77777777" w:rsidR="001C2E41" w:rsidRDefault="00000000">
            <w:pPr>
              <w:keepNext/>
              <w:keepLines/>
              <w:spacing w:after="0" w:line="240" w:lineRule="auto"/>
              <w:jc w:val="right"/>
            </w:pPr>
            <w:r>
              <w:rPr>
                <w:sz w:val="18"/>
              </w:rPr>
              <w:t>184,4</w:t>
            </w:r>
          </w:p>
        </w:tc>
      </w:tr>
    </w:tbl>
    <w:p w14:paraId="1F530E56" w14:textId="77777777" w:rsidR="001C2E41" w:rsidRDefault="001C2E41">
      <w:pPr>
        <w:spacing w:after="0"/>
      </w:pPr>
    </w:p>
    <w:p w14:paraId="5059AE24" w14:textId="77777777" w:rsidR="001C2E41" w:rsidRDefault="00000000">
      <w:r>
        <w:t>Na ovoj poziciji prikazana su i doznačena financijska sredstva po izvorima 11 i 12 pozicija DP 3631 - Potpora u provedbi CEF projekata željezničkog sektora te izvor 11 pozicija DP 3631 - Opremanje pruga uređajem za automatsku zaštitu vlaka, izvor 11 - Potpora društvu HŽ Infrastruktura  za dovršetak projekta financiranog iz IBRD zajma i izvor 11 - Potpora trgovačkim društvima u javnom sektoru u pripremi projekata planiranih za sufinanciranje iz EU fondova</w:t>
      </w:r>
    </w:p>
    <w:p w14:paraId="1B7A7E10" w14:textId="77777777" w:rsidR="001C2E41" w:rsidRDefault="001C2E41"/>
    <w:p w14:paraId="4542DD44" w14:textId="77777777" w:rsidR="001C2E41"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42F967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2F4F0C"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F854ED"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DEF293"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0CA939"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C4D5EA"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4F1C32" w14:textId="77777777" w:rsidR="001C2E41" w:rsidRDefault="00000000">
            <w:pPr>
              <w:keepNext/>
              <w:keepLines/>
              <w:spacing w:after="0" w:line="240" w:lineRule="auto"/>
              <w:jc w:val="center"/>
            </w:pPr>
            <w:r>
              <w:rPr>
                <w:b/>
                <w:sz w:val="18"/>
              </w:rPr>
              <w:t>Indeks (%)</w:t>
            </w:r>
          </w:p>
        </w:tc>
      </w:tr>
      <w:tr w:rsidR="001C2E41" w14:paraId="778EA87A" w14:textId="77777777">
        <w:tblPrEx>
          <w:tblCellMar>
            <w:top w:w="0" w:type="dxa"/>
            <w:bottom w:w="0" w:type="dxa"/>
          </w:tblCellMar>
        </w:tblPrEx>
        <w:trPr>
          <w:cantSplit/>
          <w:trHeight w:val="560"/>
        </w:trPr>
        <w:tc>
          <w:tcPr>
            <w:tcW w:w="700" w:type="dxa"/>
            <w:tcMar>
              <w:top w:w="0" w:type="dxa"/>
              <w:bottom w:w="0" w:type="dxa"/>
            </w:tcMar>
            <w:vAlign w:val="center"/>
          </w:tcPr>
          <w:p w14:paraId="750E3CCA" w14:textId="77777777" w:rsidR="001C2E41" w:rsidRDefault="00000000">
            <w:pPr>
              <w:keepNext/>
              <w:keepLines/>
              <w:spacing w:after="0" w:line="240" w:lineRule="auto"/>
            </w:pPr>
            <w:r>
              <w:rPr>
                <w:sz w:val="18"/>
              </w:rPr>
              <w:t>6332</w:t>
            </w:r>
          </w:p>
        </w:tc>
        <w:tc>
          <w:tcPr>
            <w:tcW w:w="3180" w:type="dxa"/>
            <w:tcMar>
              <w:top w:w="0" w:type="dxa"/>
              <w:bottom w:w="0" w:type="dxa"/>
            </w:tcMar>
            <w:vAlign w:val="center"/>
          </w:tcPr>
          <w:p w14:paraId="3E3EFDE1" w14:textId="77777777" w:rsidR="001C2E41"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119E7B2E" w14:textId="77777777" w:rsidR="001C2E41" w:rsidRDefault="00000000">
            <w:pPr>
              <w:keepNext/>
              <w:keepLines/>
              <w:spacing w:after="0" w:line="240" w:lineRule="auto"/>
            </w:pPr>
            <w:r>
              <w:rPr>
                <w:sz w:val="18"/>
              </w:rPr>
              <w:t>6332</w:t>
            </w:r>
          </w:p>
        </w:tc>
        <w:tc>
          <w:tcPr>
            <w:tcW w:w="1860" w:type="dxa"/>
            <w:tcMar>
              <w:top w:w="0" w:type="dxa"/>
              <w:bottom w:w="0" w:type="dxa"/>
            </w:tcMar>
            <w:vAlign w:val="center"/>
          </w:tcPr>
          <w:p w14:paraId="07E85068" w14:textId="77777777" w:rsidR="001C2E41" w:rsidRDefault="00000000">
            <w:pPr>
              <w:keepNext/>
              <w:keepLines/>
              <w:spacing w:after="0" w:line="240" w:lineRule="auto"/>
              <w:jc w:val="right"/>
            </w:pPr>
            <w:r>
              <w:rPr>
                <w:sz w:val="18"/>
              </w:rPr>
              <w:t>258.582.167,69</w:t>
            </w:r>
          </w:p>
        </w:tc>
        <w:tc>
          <w:tcPr>
            <w:tcW w:w="1860" w:type="dxa"/>
            <w:tcMar>
              <w:top w:w="0" w:type="dxa"/>
              <w:bottom w:w="0" w:type="dxa"/>
            </w:tcMar>
            <w:vAlign w:val="center"/>
          </w:tcPr>
          <w:p w14:paraId="76615E33" w14:textId="77777777" w:rsidR="001C2E41" w:rsidRDefault="00000000">
            <w:pPr>
              <w:keepNext/>
              <w:keepLines/>
              <w:spacing w:after="0" w:line="240" w:lineRule="auto"/>
              <w:jc w:val="right"/>
            </w:pPr>
            <w:r>
              <w:rPr>
                <w:sz w:val="18"/>
              </w:rPr>
              <w:t>366.073.604,80</w:t>
            </w:r>
          </w:p>
        </w:tc>
        <w:tc>
          <w:tcPr>
            <w:tcW w:w="700" w:type="dxa"/>
            <w:tcMar>
              <w:top w:w="0" w:type="dxa"/>
              <w:bottom w:w="0" w:type="dxa"/>
            </w:tcMar>
            <w:vAlign w:val="center"/>
          </w:tcPr>
          <w:p w14:paraId="1067C21E" w14:textId="77777777" w:rsidR="001C2E41" w:rsidRDefault="00000000">
            <w:pPr>
              <w:keepNext/>
              <w:keepLines/>
              <w:spacing w:after="0" w:line="240" w:lineRule="auto"/>
              <w:jc w:val="right"/>
            </w:pPr>
            <w:r>
              <w:rPr>
                <w:sz w:val="18"/>
              </w:rPr>
              <w:t>141,6</w:t>
            </w:r>
          </w:p>
        </w:tc>
      </w:tr>
    </w:tbl>
    <w:p w14:paraId="36E23746" w14:textId="77777777" w:rsidR="001C2E41" w:rsidRDefault="001C2E41">
      <w:pPr>
        <w:spacing w:after="0"/>
      </w:pPr>
    </w:p>
    <w:p w14:paraId="1F6F4216" w14:textId="77777777" w:rsidR="001C2E41" w:rsidRDefault="00000000">
      <w:r>
        <w:t>Doznačena proračunska financijska sredstva za 2025. godinu po pozicijama:</w:t>
      </w:r>
    </w:p>
    <w:p w14:paraId="0A470EAD" w14:textId="77777777" w:rsidR="001C2E41" w:rsidRDefault="00000000">
      <w:r>
        <w:t xml:space="preserve">A754029 Naknada u cijeni goriva, T754048 Potpora u provedbi CEF projekata željezničkog sektora izvor 11, T754054 Prilagodba željezničkih graničnih prijelaza za provedbu </w:t>
      </w:r>
      <w:proofErr w:type="spellStart"/>
      <w:r>
        <w:t>schengenske</w:t>
      </w:r>
      <w:proofErr w:type="spellEnd"/>
      <w:r>
        <w:t xml:space="preserve"> pravne stečevine, T754034 Potpora trgovačkim društvima u javnom sektoru u pripremi projekata planiranih za sufinanciranje iz EU fondova, A820082 Financiranje i sufinanciranje građenja, modernizacije i obnove željezničke infrastrukture (izvori 11  i izvori 810) i T821082 Potpora u provedbi NPOO projekata željezničkog sektora (izvor 11)</w:t>
      </w:r>
    </w:p>
    <w:p w14:paraId="630ABDAA" w14:textId="77777777" w:rsidR="001C2E41" w:rsidRDefault="001C2E41"/>
    <w:p w14:paraId="2E1B1327" w14:textId="77777777" w:rsidR="001C2E41"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05086E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BA8453"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735718"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E0FFA0"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B50AE"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12D57E"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94F1AD" w14:textId="77777777" w:rsidR="001C2E41" w:rsidRDefault="00000000">
            <w:pPr>
              <w:keepNext/>
              <w:keepLines/>
              <w:spacing w:after="0" w:line="240" w:lineRule="auto"/>
              <w:jc w:val="center"/>
            </w:pPr>
            <w:r>
              <w:rPr>
                <w:b/>
                <w:sz w:val="18"/>
              </w:rPr>
              <w:t>Indeks (%)</w:t>
            </w:r>
          </w:p>
        </w:tc>
      </w:tr>
      <w:tr w:rsidR="001C2E41" w14:paraId="7CB1A128" w14:textId="77777777">
        <w:tblPrEx>
          <w:tblCellMar>
            <w:top w:w="0" w:type="dxa"/>
            <w:bottom w:w="0" w:type="dxa"/>
          </w:tblCellMar>
        </w:tblPrEx>
        <w:trPr>
          <w:cantSplit/>
          <w:trHeight w:val="560"/>
        </w:trPr>
        <w:tc>
          <w:tcPr>
            <w:tcW w:w="700" w:type="dxa"/>
            <w:tcMar>
              <w:top w:w="0" w:type="dxa"/>
              <w:bottom w:w="0" w:type="dxa"/>
            </w:tcMar>
            <w:vAlign w:val="center"/>
          </w:tcPr>
          <w:p w14:paraId="2F8FE9DF" w14:textId="77777777" w:rsidR="001C2E41" w:rsidRDefault="00000000">
            <w:pPr>
              <w:keepNext/>
              <w:keepLines/>
              <w:spacing w:after="0" w:line="240" w:lineRule="auto"/>
            </w:pPr>
            <w:r>
              <w:rPr>
                <w:sz w:val="18"/>
              </w:rPr>
              <w:t>6382</w:t>
            </w:r>
          </w:p>
        </w:tc>
        <w:tc>
          <w:tcPr>
            <w:tcW w:w="3180" w:type="dxa"/>
            <w:tcMar>
              <w:top w:w="0" w:type="dxa"/>
              <w:bottom w:w="0" w:type="dxa"/>
            </w:tcMar>
            <w:vAlign w:val="center"/>
          </w:tcPr>
          <w:p w14:paraId="3F0BCE5A" w14:textId="77777777" w:rsidR="001C2E41"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42F83154" w14:textId="77777777" w:rsidR="001C2E41" w:rsidRDefault="00000000">
            <w:pPr>
              <w:keepNext/>
              <w:keepLines/>
              <w:spacing w:after="0" w:line="240" w:lineRule="auto"/>
            </w:pPr>
            <w:r>
              <w:rPr>
                <w:sz w:val="18"/>
              </w:rPr>
              <w:t>6382</w:t>
            </w:r>
          </w:p>
        </w:tc>
        <w:tc>
          <w:tcPr>
            <w:tcW w:w="1860" w:type="dxa"/>
            <w:tcMar>
              <w:top w:w="0" w:type="dxa"/>
              <w:bottom w:w="0" w:type="dxa"/>
            </w:tcMar>
            <w:vAlign w:val="center"/>
          </w:tcPr>
          <w:p w14:paraId="46894D2A" w14:textId="77777777" w:rsidR="001C2E41" w:rsidRDefault="00000000">
            <w:pPr>
              <w:keepNext/>
              <w:keepLines/>
              <w:spacing w:after="0" w:line="240" w:lineRule="auto"/>
              <w:jc w:val="right"/>
            </w:pPr>
            <w:r>
              <w:rPr>
                <w:sz w:val="18"/>
              </w:rPr>
              <w:t>24.612.810,71</w:t>
            </w:r>
          </w:p>
        </w:tc>
        <w:tc>
          <w:tcPr>
            <w:tcW w:w="1860" w:type="dxa"/>
            <w:tcMar>
              <w:top w:w="0" w:type="dxa"/>
              <w:bottom w:w="0" w:type="dxa"/>
            </w:tcMar>
            <w:vAlign w:val="center"/>
          </w:tcPr>
          <w:p w14:paraId="1C622272" w14:textId="77777777" w:rsidR="001C2E41" w:rsidRDefault="00000000">
            <w:pPr>
              <w:keepNext/>
              <w:keepLines/>
              <w:spacing w:after="0" w:line="240" w:lineRule="auto"/>
              <w:jc w:val="right"/>
            </w:pPr>
            <w:r>
              <w:rPr>
                <w:sz w:val="18"/>
              </w:rPr>
              <w:t>20.815.161,05</w:t>
            </w:r>
          </w:p>
        </w:tc>
        <w:tc>
          <w:tcPr>
            <w:tcW w:w="700" w:type="dxa"/>
            <w:tcMar>
              <w:top w:w="0" w:type="dxa"/>
              <w:bottom w:w="0" w:type="dxa"/>
            </w:tcMar>
            <w:vAlign w:val="center"/>
          </w:tcPr>
          <w:p w14:paraId="7BD02F40" w14:textId="77777777" w:rsidR="001C2E41" w:rsidRDefault="00000000">
            <w:pPr>
              <w:keepNext/>
              <w:keepLines/>
              <w:spacing w:after="0" w:line="240" w:lineRule="auto"/>
              <w:jc w:val="right"/>
            </w:pPr>
            <w:r>
              <w:rPr>
                <w:sz w:val="18"/>
              </w:rPr>
              <w:t>84,6</w:t>
            </w:r>
          </w:p>
        </w:tc>
      </w:tr>
    </w:tbl>
    <w:p w14:paraId="458085EC" w14:textId="77777777" w:rsidR="001C2E41" w:rsidRDefault="001C2E41">
      <w:pPr>
        <w:spacing w:after="0"/>
      </w:pPr>
    </w:p>
    <w:p w14:paraId="6E9E9B74" w14:textId="77777777" w:rsidR="001C2E41" w:rsidRDefault="00000000">
      <w:r>
        <w:t>Doznačena proračunska financijska sredstva po poziciji T820077 NPOO Mehanizam za oporavak i otpornost (izvor 581), poziciji T820079 Program Konkurentnost i kohezija 2021.-2027. (izvor 12, 562, 563) i poziciji  T754048 Potpora u provedbi CEF projekata željezničkog sektora (izvor 12)</w:t>
      </w:r>
    </w:p>
    <w:p w14:paraId="55BEA07C" w14:textId="77777777" w:rsidR="001C2E41" w:rsidRDefault="00000000">
      <w:r>
        <w:lastRenderedPageBreak/>
        <w:t> </w:t>
      </w:r>
    </w:p>
    <w:p w14:paraId="0D1F8BE4" w14:textId="77777777" w:rsidR="001C2E41" w:rsidRDefault="001C2E41"/>
    <w:p w14:paraId="0E467150" w14:textId="77777777" w:rsidR="001C2E41"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2ADA41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75C87A"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98D5ED"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53A444"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D17CE7"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B1663B"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ABEE1A" w14:textId="77777777" w:rsidR="001C2E41" w:rsidRDefault="00000000">
            <w:pPr>
              <w:keepNext/>
              <w:keepLines/>
              <w:spacing w:after="0" w:line="240" w:lineRule="auto"/>
              <w:jc w:val="center"/>
            </w:pPr>
            <w:r>
              <w:rPr>
                <w:b/>
                <w:sz w:val="18"/>
              </w:rPr>
              <w:t>Indeks (%)</w:t>
            </w:r>
          </w:p>
        </w:tc>
      </w:tr>
      <w:tr w:rsidR="001C2E41" w14:paraId="73942716" w14:textId="77777777">
        <w:tblPrEx>
          <w:tblCellMar>
            <w:top w:w="0" w:type="dxa"/>
            <w:bottom w:w="0" w:type="dxa"/>
          </w:tblCellMar>
        </w:tblPrEx>
        <w:trPr>
          <w:cantSplit/>
          <w:trHeight w:val="560"/>
        </w:trPr>
        <w:tc>
          <w:tcPr>
            <w:tcW w:w="700" w:type="dxa"/>
            <w:tcMar>
              <w:top w:w="0" w:type="dxa"/>
              <w:bottom w:w="0" w:type="dxa"/>
            </w:tcMar>
            <w:vAlign w:val="center"/>
          </w:tcPr>
          <w:p w14:paraId="1206EE81" w14:textId="77777777" w:rsidR="001C2E41" w:rsidRDefault="00000000">
            <w:pPr>
              <w:keepNext/>
              <w:keepLines/>
              <w:spacing w:after="0" w:line="240" w:lineRule="auto"/>
            </w:pPr>
            <w:r>
              <w:rPr>
                <w:sz w:val="18"/>
              </w:rPr>
              <w:t>6422</w:t>
            </w:r>
          </w:p>
        </w:tc>
        <w:tc>
          <w:tcPr>
            <w:tcW w:w="3180" w:type="dxa"/>
            <w:tcMar>
              <w:top w:w="0" w:type="dxa"/>
              <w:bottom w:w="0" w:type="dxa"/>
            </w:tcMar>
            <w:vAlign w:val="center"/>
          </w:tcPr>
          <w:p w14:paraId="2EF876B3" w14:textId="77777777" w:rsidR="001C2E41"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0CEE6E79" w14:textId="77777777" w:rsidR="001C2E41" w:rsidRDefault="00000000">
            <w:pPr>
              <w:keepNext/>
              <w:keepLines/>
              <w:spacing w:after="0" w:line="240" w:lineRule="auto"/>
            </w:pPr>
            <w:r>
              <w:rPr>
                <w:sz w:val="18"/>
              </w:rPr>
              <w:t>6422</w:t>
            </w:r>
          </w:p>
        </w:tc>
        <w:tc>
          <w:tcPr>
            <w:tcW w:w="1860" w:type="dxa"/>
            <w:tcMar>
              <w:top w:w="0" w:type="dxa"/>
              <w:bottom w:w="0" w:type="dxa"/>
            </w:tcMar>
            <w:vAlign w:val="center"/>
          </w:tcPr>
          <w:p w14:paraId="3210C956" w14:textId="77777777" w:rsidR="001C2E41" w:rsidRDefault="00000000">
            <w:pPr>
              <w:keepNext/>
              <w:keepLines/>
              <w:spacing w:after="0" w:line="240" w:lineRule="auto"/>
              <w:jc w:val="right"/>
            </w:pPr>
            <w:r>
              <w:rPr>
                <w:sz w:val="18"/>
              </w:rPr>
              <w:t>4.954.882,99</w:t>
            </w:r>
          </w:p>
        </w:tc>
        <w:tc>
          <w:tcPr>
            <w:tcW w:w="1860" w:type="dxa"/>
            <w:tcMar>
              <w:top w:w="0" w:type="dxa"/>
              <w:bottom w:w="0" w:type="dxa"/>
            </w:tcMar>
            <w:vAlign w:val="center"/>
          </w:tcPr>
          <w:p w14:paraId="4908B69E" w14:textId="77777777" w:rsidR="001C2E41" w:rsidRDefault="00000000">
            <w:pPr>
              <w:keepNext/>
              <w:keepLines/>
              <w:spacing w:after="0" w:line="240" w:lineRule="auto"/>
              <w:jc w:val="right"/>
            </w:pPr>
            <w:r>
              <w:rPr>
                <w:sz w:val="18"/>
              </w:rPr>
              <w:t>4.999.649,97</w:t>
            </w:r>
          </w:p>
        </w:tc>
        <w:tc>
          <w:tcPr>
            <w:tcW w:w="700" w:type="dxa"/>
            <w:tcMar>
              <w:top w:w="0" w:type="dxa"/>
              <w:bottom w:w="0" w:type="dxa"/>
            </w:tcMar>
            <w:vAlign w:val="center"/>
          </w:tcPr>
          <w:p w14:paraId="6E52A516" w14:textId="77777777" w:rsidR="001C2E41" w:rsidRDefault="00000000">
            <w:pPr>
              <w:keepNext/>
              <w:keepLines/>
              <w:spacing w:after="0" w:line="240" w:lineRule="auto"/>
              <w:jc w:val="right"/>
            </w:pPr>
            <w:r>
              <w:rPr>
                <w:sz w:val="18"/>
              </w:rPr>
              <w:t>100,9</w:t>
            </w:r>
          </w:p>
        </w:tc>
      </w:tr>
    </w:tbl>
    <w:p w14:paraId="15AC7EFD" w14:textId="77777777" w:rsidR="001C2E41" w:rsidRDefault="001C2E41">
      <w:pPr>
        <w:spacing w:after="0"/>
      </w:pPr>
    </w:p>
    <w:p w14:paraId="15907D77" w14:textId="77777777" w:rsidR="001C2E41" w:rsidRDefault="00000000">
      <w:r>
        <w:t>Prihodi od zakupa u 2025. godini su veći u odnosu na prethodno razdoblje, uzrokovani su povećanim brojem ugovorenih zakupa.</w:t>
      </w:r>
    </w:p>
    <w:p w14:paraId="6329F1A1" w14:textId="77777777" w:rsidR="001C2E41" w:rsidRDefault="001C2E41"/>
    <w:p w14:paraId="5B279E8E" w14:textId="77777777" w:rsidR="001C2E41"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7835E3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FA8B19"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B70BEF"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519F18"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5162A9"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42F2D8"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6B0F46" w14:textId="77777777" w:rsidR="001C2E41" w:rsidRDefault="00000000">
            <w:pPr>
              <w:keepNext/>
              <w:keepLines/>
              <w:spacing w:after="0" w:line="240" w:lineRule="auto"/>
              <w:jc w:val="center"/>
            </w:pPr>
            <w:r>
              <w:rPr>
                <w:b/>
                <w:sz w:val="18"/>
              </w:rPr>
              <w:t>Indeks (%)</w:t>
            </w:r>
          </w:p>
        </w:tc>
      </w:tr>
      <w:tr w:rsidR="001C2E41" w14:paraId="5955AC41" w14:textId="77777777">
        <w:tblPrEx>
          <w:tblCellMar>
            <w:top w:w="0" w:type="dxa"/>
            <w:bottom w:w="0" w:type="dxa"/>
          </w:tblCellMar>
        </w:tblPrEx>
        <w:trPr>
          <w:cantSplit/>
          <w:trHeight w:val="560"/>
        </w:trPr>
        <w:tc>
          <w:tcPr>
            <w:tcW w:w="700" w:type="dxa"/>
            <w:tcMar>
              <w:top w:w="0" w:type="dxa"/>
              <w:bottom w:w="0" w:type="dxa"/>
            </w:tcMar>
            <w:vAlign w:val="center"/>
          </w:tcPr>
          <w:p w14:paraId="465ABFAC" w14:textId="77777777" w:rsidR="001C2E41" w:rsidRDefault="00000000">
            <w:pPr>
              <w:keepNext/>
              <w:keepLines/>
              <w:spacing w:after="0" w:line="240" w:lineRule="auto"/>
            </w:pPr>
            <w:r>
              <w:rPr>
                <w:sz w:val="18"/>
              </w:rPr>
              <w:t>6614</w:t>
            </w:r>
          </w:p>
        </w:tc>
        <w:tc>
          <w:tcPr>
            <w:tcW w:w="3180" w:type="dxa"/>
            <w:tcMar>
              <w:top w:w="0" w:type="dxa"/>
              <w:bottom w:w="0" w:type="dxa"/>
            </w:tcMar>
            <w:vAlign w:val="center"/>
          </w:tcPr>
          <w:p w14:paraId="22780BB8" w14:textId="77777777" w:rsidR="001C2E41" w:rsidRDefault="00000000">
            <w:pPr>
              <w:keepNext/>
              <w:keepLines/>
              <w:spacing w:after="0" w:line="240" w:lineRule="auto"/>
            </w:pPr>
            <w:r>
              <w:rPr>
                <w:sz w:val="18"/>
              </w:rPr>
              <w:t>Prihodi od prodaje proizvoda i robe</w:t>
            </w:r>
          </w:p>
        </w:tc>
        <w:tc>
          <w:tcPr>
            <w:tcW w:w="700" w:type="dxa"/>
            <w:tcMar>
              <w:top w:w="0" w:type="dxa"/>
              <w:bottom w:w="0" w:type="dxa"/>
            </w:tcMar>
            <w:vAlign w:val="center"/>
          </w:tcPr>
          <w:p w14:paraId="72664A56" w14:textId="77777777" w:rsidR="001C2E41" w:rsidRDefault="00000000">
            <w:pPr>
              <w:keepNext/>
              <w:keepLines/>
              <w:spacing w:after="0" w:line="240" w:lineRule="auto"/>
            </w:pPr>
            <w:r>
              <w:rPr>
                <w:sz w:val="18"/>
              </w:rPr>
              <w:t>6614</w:t>
            </w:r>
          </w:p>
        </w:tc>
        <w:tc>
          <w:tcPr>
            <w:tcW w:w="1860" w:type="dxa"/>
            <w:tcMar>
              <w:top w:w="0" w:type="dxa"/>
              <w:bottom w:w="0" w:type="dxa"/>
            </w:tcMar>
            <w:vAlign w:val="center"/>
          </w:tcPr>
          <w:p w14:paraId="593EC3CB" w14:textId="77777777" w:rsidR="001C2E41" w:rsidRDefault="00000000">
            <w:pPr>
              <w:keepNext/>
              <w:keepLines/>
              <w:spacing w:after="0" w:line="240" w:lineRule="auto"/>
              <w:jc w:val="right"/>
            </w:pPr>
            <w:r>
              <w:rPr>
                <w:sz w:val="18"/>
              </w:rPr>
              <w:t>756.738,21</w:t>
            </w:r>
          </w:p>
        </w:tc>
        <w:tc>
          <w:tcPr>
            <w:tcW w:w="1860" w:type="dxa"/>
            <w:tcMar>
              <w:top w:w="0" w:type="dxa"/>
              <w:bottom w:w="0" w:type="dxa"/>
            </w:tcMar>
            <w:vAlign w:val="center"/>
          </w:tcPr>
          <w:p w14:paraId="57EA3B01" w14:textId="77777777" w:rsidR="001C2E41" w:rsidRDefault="00000000">
            <w:pPr>
              <w:keepNext/>
              <w:keepLines/>
              <w:spacing w:after="0" w:line="240" w:lineRule="auto"/>
              <w:jc w:val="right"/>
            </w:pPr>
            <w:r>
              <w:rPr>
                <w:sz w:val="18"/>
              </w:rPr>
              <w:t>1.811.339,95</w:t>
            </w:r>
          </w:p>
        </w:tc>
        <w:tc>
          <w:tcPr>
            <w:tcW w:w="700" w:type="dxa"/>
            <w:tcMar>
              <w:top w:w="0" w:type="dxa"/>
              <w:bottom w:w="0" w:type="dxa"/>
            </w:tcMar>
            <w:vAlign w:val="center"/>
          </w:tcPr>
          <w:p w14:paraId="4FE683A8" w14:textId="77777777" w:rsidR="001C2E41" w:rsidRDefault="00000000">
            <w:pPr>
              <w:keepNext/>
              <w:keepLines/>
              <w:spacing w:after="0" w:line="240" w:lineRule="auto"/>
              <w:jc w:val="right"/>
            </w:pPr>
            <w:r>
              <w:rPr>
                <w:sz w:val="18"/>
              </w:rPr>
              <w:t>239,4</w:t>
            </w:r>
          </w:p>
        </w:tc>
      </w:tr>
    </w:tbl>
    <w:p w14:paraId="46BE2CDA" w14:textId="77777777" w:rsidR="001C2E41" w:rsidRDefault="001C2E41">
      <w:pPr>
        <w:spacing w:after="0"/>
      </w:pPr>
    </w:p>
    <w:p w14:paraId="08CB8EFA" w14:textId="77777777" w:rsidR="001C2E41" w:rsidRDefault="00000000">
      <w:r>
        <w:t>Prihodi od prodaje robe i materijala veći su u 2025. u odnosu na 2024. godinu. Društvo u najvećem dijelu prodaje stare drvene pragove, kolosiječni pribor, nesortirano staro željezo i miješani bakar.</w:t>
      </w:r>
    </w:p>
    <w:p w14:paraId="0438AFE4" w14:textId="77777777" w:rsidR="001C2E41" w:rsidRDefault="001C2E41"/>
    <w:p w14:paraId="0DC0719B" w14:textId="77777777" w:rsidR="001C2E41"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2EEF55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D30E7E"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DFC0AD"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EFA2F0"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4A8EDC"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572DD7"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86797B" w14:textId="77777777" w:rsidR="001C2E41" w:rsidRDefault="00000000">
            <w:pPr>
              <w:keepNext/>
              <w:keepLines/>
              <w:spacing w:after="0" w:line="240" w:lineRule="auto"/>
              <w:jc w:val="center"/>
            </w:pPr>
            <w:r>
              <w:rPr>
                <w:b/>
                <w:sz w:val="18"/>
              </w:rPr>
              <w:t>Indeks (%)</w:t>
            </w:r>
          </w:p>
        </w:tc>
      </w:tr>
      <w:tr w:rsidR="001C2E41" w14:paraId="1424C92E" w14:textId="77777777">
        <w:tblPrEx>
          <w:tblCellMar>
            <w:top w:w="0" w:type="dxa"/>
            <w:bottom w:w="0" w:type="dxa"/>
          </w:tblCellMar>
        </w:tblPrEx>
        <w:trPr>
          <w:cantSplit/>
          <w:trHeight w:val="560"/>
        </w:trPr>
        <w:tc>
          <w:tcPr>
            <w:tcW w:w="700" w:type="dxa"/>
            <w:tcMar>
              <w:top w:w="0" w:type="dxa"/>
              <w:bottom w:w="0" w:type="dxa"/>
            </w:tcMar>
            <w:vAlign w:val="center"/>
          </w:tcPr>
          <w:p w14:paraId="2EAFE5F8" w14:textId="77777777" w:rsidR="001C2E41" w:rsidRDefault="00000000">
            <w:pPr>
              <w:keepNext/>
              <w:keepLines/>
              <w:spacing w:after="0" w:line="240" w:lineRule="auto"/>
            </w:pPr>
            <w:r>
              <w:rPr>
                <w:sz w:val="18"/>
              </w:rPr>
              <w:t>6615</w:t>
            </w:r>
          </w:p>
        </w:tc>
        <w:tc>
          <w:tcPr>
            <w:tcW w:w="3180" w:type="dxa"/>
            <w:tcMar>
              <w:top w:w="0" w:type="dxa"/>
              <w:bottom w:w="0" w:type="dxa"/>
            </w:tcMar>
            <w:vAlign w:val="center"/>
          </w:tcPr>
          <w:p w14:paraId="2D162619" w14:textId="77777777" w:rsidR="001C2E41"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45C0601A" w14:textId="77777777" w:rsidR="001C2E41" w:rsidRDefault="00000000">
            <w:pPr>
              <w:keepNext/>
              <w:keepLines/>
              <w:spacing w:after="0" w:line="240" w:lineRule="auto"/>
            </w:pPr>
            <w:r>
              <w:rPr>
                <w:sz w:val="18"/>
              </w:rPr>
              <w:t>6615</w:t>
            </w:r>
          </w:p>
        </w:tc>
        <w:tc>
          <w:tcPr>
            <w:tcW w:w="1860" w:type="dxa"/>
            <w:tcMar>
              <w:top w:w="0" w:type="dxa"/>
              <w:bottom w:w="0" w:type="dxa"/>
            </w:tcMar>
            <w:vAlign w:val="center"/>
          </w:tcPr>
          <w:p w14:paraId="0033A92E" w14:textId="77777777" w:rsidR="001C2E41" w:rsidRDefault="00000000">
            <w:pPr>
              <w:keepNext/>
              <w:keepLines/>
              <w:spacing w:after="0" w:line="240" w:lineRule="auto"/>
              <w:jc w:val="right"/>
            </w:pPr>
            <w:r>
              <w:rPr>
                <w:sz w:val="18"/>
              </w:rPr>
              <w:t>32.624.097,74</w:t>
            </w:r>
          </w:p>
        </w:tc>
        <w:tc>
          <w:tcPr>
            <w:tcW w:w="1860" w:type="dxa"/>
            <w:tcMar>
              <w:top w:w="0" w:type="dxa"/>
              <w:bottom w:w="0" w:type="dxa"/>
            </w:tcMar>
            <w:vAlign w:val="center"/>
          </w:tcPr>
          <w:p w14:paraId="58EDF41F" w14:textId="77777777" w:rsidR="001C2E41" w:rsidRDefault="00000000">
            <w:pPr>
              <w:keepNext/>
              <w:keepLines/>
              <w:spacing w:after="0" w:line="240" w:lineRule="auto"/>
              <w:jc w:val="right"/>
            </w:pPr>
            <w:r>
              <w:rPr>
                <w:sz w:val="18"/>
              </w:rPr>
              <w:t>34.057.678,98</w:t>
            </w:r>
          </w:p>
        </w:tc>
        <w:tc>
          <w:tcPr>
            <w:tcW w:w="700" w:type="dxa"/>
            <w:tcMar>
              <w:top w:w="0" w:type="dxa"/>
              <w:bottom w:w="0" w:type="dxa"/>
            </w:tcMar>
            <w:vAlign w:val="center"/>
          </w:tcPr>
          <w:p w14:paraId="3BBB1BC3" w14:textId="77777777" w:rsidR="001C2E41" w:rsidRDefault="00000000">
            <w:pPr>
              <w:keepNext/>
              <w:keepLines/>
              <w:spacing w:after="0" w:line="240" w:lineRule="auto"/>
              <w:jc w:val="right"/>
            </w:pPr>
            <w:r>
              <w:rPr>
                <w:sz w:val="18"/>
              </w:rPr>
              <w:t>104,4</w:t>
            </w:r>
          </w:p>
        </w:tc>
      </w:tr>
    </w:tbl>
    <w:p w14:paraId="6246AC2C" w14:textId="77777777" w:rsidR="001C2E41" w:rsidRDefault="001C2E41">
      <w:pPr>
        <w:spacing w:after="0"/>
      </w:pPr>
    </w:p>
    <w:p w14:paraId="4C47F23E" w14:textId="77777777" w:rsidR="001C2E41" w:rsidRDefault="00000000">
      <w:r>
        <w:t>Prihod od pruženih usluga u 2025. je veći u odnosu na promatrano razdoblje prošle godine, u najvećem dijelu navedeni prihod odnosi se na prihod od informatičkih usluga, prihod od pristojbi željezničkoj infrastrukturi, usluga formiranja i rasformiranja sastava vlaka.</w:t>
      </w:r>
    </w:p>
    <w:p w14:paraId="7F2521B1" w14:textId="77777777" w:rsidR="001C2E41" w:rsidRDefault="001C2E41"/>
    <w:p w14:paraId="4E8A7617" w14:textId="77777777" w:rsidR="001C2E41"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776BDC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E134B0"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AEFFBB"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9580D3"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7BFAF7"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57A72D"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B55431" w14:textId="77777777" w:rsidR="001C2E41" w:rsidRDefault="00000000">
            <w:pPr>
              <w:keepNext/>
              <w:keepLines/>
              <w:spacing w:after="0" w:line="240" w:lineRule="auto"/>
              <w:jc w:val="center"/>
            </w:pPr>
            <w:r>
              <w:rPr>
                <w:b/>
                <w:sz w:val="18"/>
              </w:rPr>
              <w:t>Indeks (%)</w:t>
            </w:r>
          </w:p>
        </w:tc>
      </w:tr>
      <w:tr w:rsidR="001C2E41" w14:paraId="291EF217" w14:textId="77777777">
        <w:tblPrEx>
          <w:tblCellMar>
            <w:top w:w="0" w:type="dxa"/>
            <w:bottom w:w="0" w:type="dxa"/>
          </w:tblCellMar>
        </w:tblPrEx>
        <w:trPr>
          <w:cantSplit/>
          <w:trHeight w:val="560"/>
        </w:trPr>
        <w:tc>
          <w:tcPr>
            <w:tcW w:w="700" w:type="dxa"/>
            <w:tcMar>
              <w:top w:w="0" w:type="dxa"/>
              <w:bottom w:w="0" w:type="dxa"/>
            </w:tcMar>
            <w:vAlign w:val="center"/>
          </w:tcPr>
          <w:p w14:paraId="0000A2D2" w14:textId="77777777" w:rsidR="001C2E41" w:rsidRDefault="00000000">
            <w:pPr>
              <w:keepNext/>
              <w:keepLines/>
              <w:spacing w:after="0" w:line="240" w:lineRule="auto"/>
            </w:pPr>
            <w:r>
              <w:rPr>
                <w:sz w:val="18"/>
              </w:rPr>
              <w:t>31</w:t>
            </w:r>
          </w:p>
        </w:tc>
        <w:tc>
          <w:tcPr>
            <w:tcW w:w="3180" w:type="dxa"/>
            <w:tcMar>
              <w:top w:w="0" w:type="dxa"/>
              <w:bottom w:w="0" w:type="dxa"/>
            </w:tcMar>
            <w:vAlign w:val="center"/>
          </w:tcPr>
          <w:p w14:paraId="33730983" w14:textId="77777777" w:rsidR="001C2E41"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F40BB69" w14:textId="77777777" w:rsidR="001C2E41" w:rsidRDefault="00000000">
            <w:pPr>
              <w:keepNext/>
              <w:keepLines/>
              <w:spacing w:after="0" w:line="240" w:lineRule="auto"/>
            </w:pPr>
            <w:r>
              <w:rPr>
                <w:sz w:val="18"/>
              </w:rPr>
              <w:t>31</w:t>
            </w:r>
          </w:p>
        </w:tc>
        <w:tc>
          <w:tcPr>
            <w:tcW w:w="1860" w:type="dxa"/>
            <w:tcMar>
              <w:top w:w="0" w:type="dxa"/>
              <w:bottom w:w="0" w:type="dxa"/>
            </w:tcMar>
            <w:vAlign w:val="center"/>
          </w:tcPr>
          <w:p w14:paraId="51628415" w14:textId="77777777" w:rsidR="001C2E41" w:rsidRDefault="00000000">
            <w:pPr>
              <w:keepNext/>
              <w:keepLines/>
              <w:spacing w:after="0" w:line="240" w:lineRule="auto"/>
              <w:jc w:val="right"/>
            </w:pPr>
            <w:r>
              <w:rPr>
                <w:sz w:val="18"/>
              </w:rPr>
              <w:t>133.862.236,13</w:t>
            </w:r>
          </w:p>
        </w:tc>
        <w:tc>
          <w:tcPr>
            <w:tcW w:w="1860" w:type="dxa"/>
            <w:tcMar>
              <w:top w:w="0" w:type="dxa"/>
              <w:bottom w:w="0" w:type="dxa"/>
            </w:tcMar>
            <w:vAlign w:val="center"/>
          </w:tcPr>
          <w:p w14:paraId="4B720AC5" w14:textId="77777777" w:rsidR="001C2E41" w:rsidRDefault="00000000">
            <w:pPr>
              <w:keepNext/>
              <w:keepLines/>
              <w:spacing w:after="0" w:line="240" w:lineRule="auto"/>
              <w:jc w:val="right"/>
            </w:pPr>
            <w:r>
              <w:rPr>
                <w:sz w:val="18"/>
              </w:rPr>
              <w:t>160.281.384,56</w:t>
            </w:r>
          </w:p>
        </w:tc>
        <w:tc>
          <w:tcPr>
            <w:tcW w:w="700" w:type="dxa"/>
            <w:tcMar>
              <w:top w:w="0" w:type="dxa"/>
              <w:bottom w:w="0" w:type="dxa"/>
            </w:tcMar>
            <w:vAlign w:val="center"/>
          </w:tcPr>
          <w:p w14:paraId="71140C0B" w14:textId="77777777" w:rsidR="001C2E41" w:rsidRDefault="00000000">
            <w:pPr>
              <w:keepNext/>
              <w:keepLines/>
              <w:spacing w:after="0" w:line="240" w:lineRule="auto"/>
              <w:jc w:val="right"/>
            </w:pPr>
            <w:r>
              <w:rPr>
                <w:sz w:val="18"/>
              </w:rPr>
              <w:t>119,7</w:t>
            </w:r>
          </w:p>
        </w:tc>
      </w:tr>
    </w:tbl>
    <w:p w14:paraId="233A2C02" w14:textId="77777777" w:rsidR="001C2E41" w:rsidRDefault="001C2E41">
      <w:pPr>
        <w:spacing w:after="0"/>
      </w:pPr>
    </w:p>
    <w:p w14:paraId="09B6FF6E" w14:textId="2A8D94A5" w:rsidR="001C2E41" w:rsidRDefault="00000000">
      <w:r>
        <w:lastRenderedPageBreak/>
        <w:t xml:space="preserve">Na ŠIFRI 31 Rashodi za zaposlene odnosi se na plaće i ostale naknade za zaposlenike, u odnosu na prethodno promatrano razdoblje u 2025. godini porastao je broj </w:t>
      </w:r>
      <w:r w:rsidR="005941B7">
        <w:t>zaposlenika</w:t>
      </w:r>
      <w:r>
        <w:t xml:space="preserve"> te ujedno došlo i do porasta plaće.</w:t>
      </w:r>
    </w:p>
    <w:p w14:paraId="4C71C300" w14:textId="77777777" w:rsidR="001C2E41" w:rsidRDefault="001C2E41"/>
    <w:p w14:paraId="4352BF00" w14:textId="77777777" w:rsidR="001C2E41"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296092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764155"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B54E04"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7EDE20"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C2FF6"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68F55E"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99DA83" w14:textId="77777777" w:rsidR="001C2E41" w:rsidRDefault="00000000">
            <w:pPr>
              <w:keepNext/>
              <w:keepLines/>
              <w:spacing w:after="0" w:line="240" w:lineRule="auto"/>
              <w:jc w:val="center"/>
            </w:pPr>
            <w:r>
              <w:rPr>
                <w:b/>
                <w:sz w:val="18"/>
              </w:rPr>
              <w:t>Indeks (%)</w:t>
            </w:r>
          </w:p>
        </w:tc>
      </w:tr>
      <w:tr w:rsidR="001C2E41" w14:paraId="7CEA0A02" w14:textId="77777777">
        <w:tblPrEx>
          <w:tblCellMar>
            <w:top w:w="0" w:type="dxa"/>
            <w:bottom w:w="0" w:type="dxa"/>
          </w:tblCellMar>
        </w:tblPrEx>
        <w:trPr>
          <w:cantSplit/>
          <w:trHeight w:val="560"/>
        </w:trPr>
        <w:tc>
          <w:tcPr>
            <w:tcW w:w="700" w:type="dxa"/>
            <w:tcMar>
              <w:top w:w="0" w:type="dxa"/>
              <w:bottom w:w="0" w:type="dxa"/>
            </w:tcMar>
            <w:vAlign w:val="center"/>
          </w:tcPr>
          <w:p w14:paraId="78DC7551" w14:textId="77777777" w:rsidR="001C2E41" w:rsidRDefault="00000000">
            <w:pPr>
              <w:keepNext/>
              <w:keepLines/>
              <w:spacing w:after="0" w:line="240" w:lineRule="auto"/>
            </w:pPr>
            <w:r>
              <w:rPr>
                <w:sz w:val="18"/>
              </w:rPr>
              <w:t>3222</w:t>
            </w:r>
          </w:p>
        </w:tc>
        <w:tc>
          <w:tcPr>
            <w:tcW w:w="3180" w:type="dxa"/>
            <w:tcMar>
              <w:top w:w="0" w:type="dxa"/>
              <w:bottom w:w="0" w:type="dxa"/>
            </w:tcMar>
            <w:vAlign w:val="center"/>
          </w:tcPr>
          <w:p w14:paraId="3C8DA737" w14:textId="77777777" w:rsidR="001C2E41" w:rsidRDefault="00000000">
            <w:pPr>
              <w:keepNext/>
              <w:keepLines/>
              <w:spacing w:after="0" w:line="240" w:lineRule="auto"/>
            </w:pPr>
            <w:r>
              <w:rPr>
                <w:sz w:val="18"/>
              </w:rPr>
              <w:t>Materijal i sirovine</w:t>
            </w:r>
          </w:p>
        </w:tc>
        <w:tc>
          <w:tcPr>
            <w:tcW w:w="700" w:type="dxa"/>
            <w:tcMar>
              <w:top w:w="0" w:type="dxa"/>
              <w:bottom w:w="0" w:type="dxa"/>
            </w:tcMar>
            <w:vAlign w:val="center"/>
          </w:tcPr>
          <w:p w14:paraId="2154B1BD" w14:textId="77777777" w:rsidR="001C2E41" w:rsidRDefault="00000000">
            <w:pPr>
              <w:keepNext/>
              <w:keepLines/>
              <w:spacing w:after="0" w:line="240" w:lineRule="auto"/>
            </w:pPr>
            <w:r>
              <w:rPr>
                <w:sz w:val="18"/>
              </w:rPr>
              <w:t>3222</w:t>
            </w:r>
          </w:p>
        </w:tc>
        <w:tc>
          <w:tcPr>
            <w:tcW w:w="1860" w:type="dxa"/>
            <w:tcMar>
              <w:top w:w="0" w:type="dxa"/>
              <w:bottom w:w="0" w:type="dxa"/>
            </w:tcMar>
            <w:vAlign w:val="center"/>
          </w:tcPr>
          <w:p w14:paraId="49336172" w14:textId="77777777" w:rsidR="001C2E41" w:rsidRDefault="00000000">
            <w:pPr>
              <w:keepNext/>
              <w:keepLines/>
              <w:spacing w:after="0" w:line="240" w:lineRule="auto"/>
              <w:jc w:val="right"/>
            </w:pPr>
            <w:r>
              <w:rPr>
                <w:sz w:val="18"/>
              </w:rPr>
              <w:t>7.049.910,78</w:t>
            </w:r>
          </w:p>
        </w:tc>
        <w:tc>
          <w:tcPr>
            <w:tcW w:w="1860" w:type="dxa"/>
            <w:tcMar>
              <w:top w:w="0" w:type="dxa"/>
              <w:bottom w:w="0" w:type="dxa"/>
            </w:tcMar>
            <w:vAlign w:val="center"/>
          </w:tcPr>
          <w:p w14:paraId="532E3EAF" w14:textId="77777777" w:rsidR="001C2E41" w:rsidRDefault="00000000">
            <w:pPr>
              <w:keepNext/>
              <w:keepLines/>
              <w:spacing w:after="0" w:line="240" w:lineRule="auto"/>
              <w:jc w:val="right"/>
            </w:pPr>
            <w:r>
              <w:rPr>
                <w:sz w:val="18"/>
              </w:rPr>
              <w:t>8.426.763,22</w:t>
            </w:r>
          </w:p>
        </w:tc>
        <w:tc>
          <w:tcPr>
            <w:tcW w:w="700" w:type="dxa"/>
            <w:tcMar>
              <w:top w:w="0" w:type="dxa"/>
              <w:bottom w:w="0" w:type="dxa"/>
            </w:tcMar>
            <w:vAlign w:val="center"/>
          </w:tcPr>
          <w:p w14:paraId="3027AB79" w14:textId="77777777" w:rsidR="001C2E41" w:rsidRDefault="00000000">
            <w:pPr>
              <w:keepNext/>
              <w:keepLines/>
              <w:spacing w:after="0" w:line="240" w:lineRule="auto"/>
              <w:jc w:val="right"/>
            </w:pPr>
            <w:r>
              <w:rPr>
                <w:sz w:val="18"/>
              </w:rPr>
              <w:t>119,5</w:t>
            </w:r>
          </w:p>
        </w:tc>
      </w:tr>
    </w:tbl>
    <w:p w14:paraId="398EF2C0" w14:textId="77777777" w:rsidR="001C2E41" w:rsidRDefault="001C2E41">
      <w:pPr>
        <w:spacing w:after="0"/>
      </w:pPr>
    </w:p>
    <w:p w14:paraId="3C038BB0" w14:textId="77777777" w:rsidR="001C2E41" w:rsidRDefault="00000000">
      <w:r>
        <w:t>Porast rashoda od materijala evidentirano je zbog porasta radova, odnosno redovnog/tekućeg održavanja.</w:t>
      </w:r>
    </w:p>
    <w:p w14:paraId="6F12B3E7" w14:textId="77777777" w:rsidR="001C2E41" w:rsidRDefault="001C2E41"/>
    <w:p w14:paraId="3B8CA45F" w14:textId="77777777" w:rsidR="001C2E41"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39B299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8AA94E"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8DD22D"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C4F512"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FA7C98"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8AB0E2"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B08387" w14:textId="77777777" w:rsidR="001C2E41" w:rsidRDefault="00000000">
            <w:pPr>
              <w:keepNext/>
              <w:keepLines/>
              <w:spacing w:after="0" w:line="240" w:lineRule="auto"/>
              <w:jc w:val="center"/>
            </w:pPr>
            <w:r>
              <w:rPr>
                <w:b/>
                <w:sz w:val="18"/>
              </w:rPr>
              <w:t>Indeks (%)</w:t>
            </w:r>
          </w:p>
        </w:tc>
      </w:tr>
      <w:tr w:rsidR="001C2E41" w14:paraId="4344793F" w14:textId="77777777">
        <w:tblPrEx>
          <w:tblCellMar>
            <w:top w:w="0" w:type="dxa"/>
            <w:bottom w:w="0" w:type="dxa"/>
          </w:tblCellMar>
        </w:tblPrEx>
        <w:trPr>
          <w:cantSplit/>
          <w:trHeight w:val="560"/>
        </w:trPr>
        <w:tc>
          <w:tcPr>
            <w:tcW w:w="700" w:type="dxa"/>
            <w:tcMar>
              <w:top w:w="0" w:type="dxa"/>
              <w:bottom w:w="0" w:type="dxa"/>
            </w:tcMar>
            <w:vAlign w:val="center"/>
          </w:tcPr>
          <w:p w14:paraId="13A74F3D" w14:textId="77777777" w:rsidR="001C2E41" w:rsidRDefault="00000000">
            <w:pPr>
              <w:keepNext/>
              <w:keepLines/>
              <w:spacing w:after="0" w:line="240" w:lineRule="auto"/>
            </w:pPr>
            <w:r>
              <w:rPr>
                <w:sz w:val="18"/>
              </w:rPr>
              <w:t>3223</w:t>
            </w:r>
          </w:p>
        </w:tc>
        <w:tc>
          <w:tcPr>
            <w:tcW w:w="3180" w:type="dxa"/>
            <w:tcMar>
              <w:top w:w="0" w:type="dxa"/>
              <w:bottom w:w="0" w:type="dxa"/>
            </w:tcMar>
            <w:vAlign w:val="center"/>
          </w:tcPr>
          <w:p w14:paraId="149788C4" w14:textId="77777777" w:rsidR="001C2E41" w:rsidRDefault="00000000">
            <w:pPr>
              <w:keepNext/>
              <w:keepLines/>
              <w:spacing w:after="0" w:line="240" w:lineRule="auto"/>
            </w:pPr>
            <w:r>
              <w:rPr>
                <w:sz w:val="18"/>
              </w:rPr>
              <w:t>Energija</w:t>
            </w:r>
          </w:p>
        </w:tc>
        <w:tc>
          <w:tcPr>
            <w:tcW w:w="700" w:type="dxa"/>
            <w:tcMar>
              <w:top w:w="0" w:type="dxa"/>
              <w:bottom w:w="0" w:type="dxa"/>
            </w:tcMar>
            <w:vAlign w:val="center"/>
          </w:tcPr>
          <w:p w14:paraId="1466841F" w14:textId="77777777" w:rsidR="001C2E41" w:rsidRDefault="00000000">
            <w:pPr>
              <w:keepNext/>
              <w:keepLines/>
              <w:spacing w:after="0" w:line="240" w:lineRule="auto"/>
            </w:pPr>
            <w:r>
              <w:rPr>
                <w:sz w:val="18"/>
              </w:rPr>
              <w:t>3223</w:t>
            </w:r>
          </w:p>
        </w:tc>
        <w:tc>
          <w:tcPr>
            <w:tcW w:w="1860" w:type="dxa"/>
            <w:tcMar>
              <w:top w:w="0" w:type="dxa"/>
              <w:bottom w:w="0" w:type="dxa"/>
            </w:tcMar>
            <w:vAlign w:val="center"/>
          </w:tcPr>
          <w:p w14:paraId="3BE76697" w14:textId="77777777" w:rsidR="001C2E41" w:rsidRDefault="00000000">
            <w:pPr>
              <w:keepNext/>
              <w:keepLines/>
              <w:spacing w:after="0" w:line="240" w:lineRule="auto"/>
              <w:jc w:val="right"/>
            </w:pPr>
            <w:r>
              <w:rPr>
                <w:sz w:val="18"/>
              </w:rPr>
              <w:t>5.453.495,68</w:t>
            </w:r>
          </w:p>
        </w:tc>
        <w:tc>
          <w:tcPr>
            <w:tcW w:w="1860" w:type="dxa"/>
            <w:tcMar>
              <w:top w:w="0" w:type="dxa"/>
              <w:bottom w:w="0" w:type="dxa"/>
            </w:tcMar>
            <w:vAlign w:val="center"/>
          </w:tcPr>
          <w:p w14:paraId="375773B7" w14:textId="77777777" w:rsidR="001C2E41" w:rsidRDefault="00000000">
            <w:pPr>
              <w:keepNext/>
              <w:keepLines/>
              <w:spacing w:after="0" w:line="240" w:lineRule="auto"/>
              <w:jc w:val="right"/>
            </w:pPr>
            <w:r>
              <w:rPr>
                <w:sz w:val="18"/>
              </w:rPr>
              <w:t>6.312.451,10</w:t>
            </w:r>
          </w:p>
        </w:tc>
        <w:tc>
          <w:tcPr>
            <w:tcW w:w="700" w:type="dxa"/>
            <w:tcMar>
              <w:top w:w="0" w:type="dxa"/>
              <w:bottom w:w="0" w:type="dxa"/>
            </w:tcMar>
            <w:vAlign w:val="center"/>
          </w:tcPr>
          <w:p w14:paraId="30FF0A8C" w14:textId="77777777" w:rsidR="001C2E41" w:rsidRDefault="00000000">
            <w:pPr>
              <w:keepNext/>
              <w:keepLines/>
              <w:spacing w:after="0" w:line="240" w:lineRule="auto"/>
              <w:jc w:val="right"/>
            </w:pPr>
            <w:r>
              <w:rPr>
                <w:sz w:val="18"/>
              </w:rPr>
              <w:t>115,8</w:t>
            </w:r>
          </w:p>
        </w:tc>
      </w:tr>
    </w:tbl>
    <w:p w14:paraId="34EC3E4E" w14:textId="77777777" w:rsidR="001C2E41" w:rsidRDefault="001C2E41">
      <w:pPr>
        <w:spacing w:after="0"/>
      </w:pPr>
    </w:p>
    <w:p w14:paraId="661EF6B3" w14:textId="77777777" w:rsidR="001C2E41" w:rsidRDefault="00000000">
      <w:r>
        <w:t>Porast rashoda energije evidentirano je u najvećem dijelu zbog porasta troška električne energije, u odnosu na razdoblje prethodne godine.</w:t>
      </w:r>
    </w:p>
    <w:p w14:paraId="4CEB0BFD" w14:textId="77777777" w:rsidR="001C2E41" w:rsidRDefault="001C2E41"/>
    <w:p w14:paraId="7037D661" w14:textId="77777777" w:rsidR="001C2E41"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23EDCA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282F8A"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B494FB"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C41E79"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D1F820"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28BA51"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809556" w14:textId="77777777" w:rsidR="001C2E41" w:rsidRDefault="00000000">
            <w:pPr>
              <w:keepNext/>
              <w:keepLines/>
              <w:spacing w:after="0" w:line="240" w:lineRule="auto"/>
              <w:jc w:val="center"/>
            </w:pPr>
            <w:r>
              <w:rPr>
                <w:b/>
                <w:sz w:val="18"/>
              </w:rPr>
              <w:t>Indeks (%)</w:t>
            </w:r>
          </w:p>
        </w:tc>
      </w:tr>
      <w:tr w:rsidR="001C2E41" w14:paraId="15BC1B64" w14:textId="77777777">
        <w:tblPrEx>
          <w:tblCellMar>
            <w:top w:w="0" w:type="dxa"/>
            <w:bottom w:w="0" w:type="dxa"/>
          </w:tblCellMar>
        </w:tblPrEx>
        <w:trPr>
          <w:cantSplit/>
          <w:trHeight w:val="560"/>
        </w:trPr>
        <w:tc>
          <w:tcPr>
            <w:tcW w:w="700" w:type="dxa"/>
            <w:tcMar>
              <w:top w:w="0" w:type="dxa"/>
              <w:bottom w:w="0" w:type="dxa"/>
            </w:tcMar>
            <w:vAlign w:val="center"/>
          </w:tcPr>
          <w:p w14:paraId="748DBE68" w14:textId="77777777" w:rsidR="001C2E41" w:rsidRDefault="00000000">
            <w:pPr>
              <w:keepNext/>
              <w:keepLines/>
              <w:spacing w:after="0" w:line="240" w:lineRule="auto"/>
            </w:pPr>
            <w:r>
              <w:rPr>
                <w:sz w:val="18"/>
              </w:rPr>
              <w:t>3232</w:t>
            </w:r>
          </w:p>
        </w:tc>
        <w:tc>
          <w:tcPr>
            <w:tcW w:w="3180" w:type="dxa"/>
            <w:tcMar>
              <w:top w:w="0" w:type="dxa"/>
              <w:bottom w:w="0" w:type="dxa"/>
            </w:tcMar>
            <w:vAlign w:val="center"/>
          </w:tcPr>
          <w:p w14:paraId="7CCE8859" w14:textId="77777777" w:rsidR="001C2E41"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1A51C62E" w14:textId="77777777" w:rsidR="001C2E41" w:rsidRDefault="00000000">
            <w:pPr>
              <w:keepNext/>
              <w:keepLines/>
              <w:spacing w:after="0" w:line="240" w:lineRule="auto"/>
            </w:pPr>
            <w:r>
              <w:rPr>
                <w:sz w:val="18"/>
              </w:rPr>
              <w:t>3232</w:t>
            </w:r>
          </w:p>
        </w:tc>
        <w:tc>
          <w:tcPr>
            <w:tcW w:w="1860" w:type="dxa"/>
            <w:tcMar>
              <w:top w:w="0" w:type="dxa"/>
              <w:bottom w:w="0" w:type="dxa"/>
            </w:tcMar>
            <w:vAlign w:val="center"/>
          </w:tcPr>
          <w:p w14:paraId="4E2C9253" w14:textId="77777777" w:rsidR="001C2E41" w:rsidRDefault="00000000">
            <w:pPr>
              <w:keepNext/>
              <w:keepLines/>
              <w:spacing w:after="0" w:line="240" w:lineRule="auto"/>
              <w:jc w:val="right"/>
            </w:pPr>
            <w:r>
              <w:rPr>
                <w:sz w:val="18"/>
              </w:rPr>
              <w:t>15.840.175,31</w:t>
            </w:r>
          </w:p>
        </w:tc>
        <w:tc>
          <w:tcPr>
            <w:tcW w:w="1860" w:type="dxa"/>
            <w:tcMar>
              <w:top w:w="0" w:type="dxa"/>
              <w:bottom w:w="0" w:type="dxa"/>
            </w:tcMar>
            <w:vAlign w:val="center"/>
          </w:tcPr>
          <w:p w14:paraId="1EF65C29" w14:textId="77777777" w:rsidR="001C2E41" w:rsidRDefault="00000000">
            <w:pPr>
              <w:keepNext/>
              <w:keepLines/>
              <w:spacing w:after="0" w:line="240" w:lineRule="auto"/>
              <w:jc w:val="right"/>
            </w:pPr>
            <w:r>
              <w:rPr>
                <w:sz w:val="18"/>
              </w:rPr>
              <w:t>20.060.588,62</w:t>
            </w:r>
          </w:p>
        </w:tc>
        <w:tc>
          <w:tcPr>
            <w:tcW w:w="700" w:type="dxa"/>
            <w:tcMar>
              <w:top w:w="0" w:type="dxa"/>
              <w:bottom w:w="0" w:type="dxa"/>
            </w:tcMar>
            <w:vAlign w:val="center"/>
          </w:tcPr>
          <w:p w14:paraId="6C3A5AD9" w14:textId="77777777" w:rsidR="001C2E41" w:rsidRDefault="00000000">
            <w:pPr>
              <w:keepNext/>
              <w:keepLines/>
              <w:spacing w:after="0" w:line="240" w:lineRule="auto"/>
              <w:jc w:val="right"/>
            </w:pPr>
            <w:r>
              <w:rPr>
                <w:sz w:val="18"/>
              </w:rPr>
              <w:t>126,6</w:t>
            </w:r>
          </w:p>
        </w:tc>
      </w:tr>
    </w:tbl>
    <w:p w14:paraId="6C7375CF" w14:textId="77777777" w:rsidR="001C2E41" w:rsidRDefault="001C2E41">
      <w:pPr>
        <w:spacing w:after="0"/>
      </w:pPr>
    </w:p>
    <w:p w14:paraId="247B8607" w14:textId="77777777" w:rsidR="001C2E41" w:rsidRDefault="00000000">
      <w:r>
        <w:t>Na ovoj poziciji došlo je do porasta tekućeg održavanja, odnosno radova kao što su: popravci i revizije strateške mehanizacije, mehaničko čišćenje pružnog pojasa, radovi na pruzi-održavanje, izvanredni popravci dizalica i slični popravci.</w:t>
      </w:r>
    </w:p>
    <w:p w14:paraId="31D18FE3" w14:textId="77777777" w:rsidR="001C2E41" w:rsidRDefault="001C2E41"/>
    <w:p w14:paraId="4F89CD08" w14:textId="77777777" w:rsidR="001C2E41"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32E4BD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8B9660"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14E55A"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AF6690"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FE9D59"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E71CB3"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44CFCC" w14:textId="77777777" w:rsidR="001C2E41" w:rsidRDefault="00000000">
            <w:pPr>
              <w:keepNext/>
              <w:keepLines/>
              <w:spacing w:after="0" w:line="240" w:lineRule="auto"/>
              <w:jc w:val="center"/>
            </w:pPr>
            <w:r>
              <w:rPr>
                <w:b/>
                <w:sz w:val="18"/>
              </w:rPr>
              <w:t>Indeks (%)</w:t>
            </w:r>
          </w:p>
        </w:tc>
      </w:tr>
      <w:tr w:rsidR="001C2E41" w14:paraId="5B97E601" w14:textId="77777777">
        <w:tblPrEx>
          <w:tblCellMar>
            <w:top w:w="0" w:type="dxa"/>
            <w:bottom w:w="0" w:type="dxa"/>
          </w:tblCellMar>
        </w:tblPrEx>
        <w:trPr>
          <w:cantSplit/>
          <w:trHeight w:val="560"/>
        </w:trPr>
        <w:tc>
          <w:tcPr>
            <w:tcW w:w="700" w:type="dxa"/>
            <w:tcMar>
              <w:top w:w="0" w:type="dxa"/>
              <w:bottom w:w="0" w:type="dxa"/>
            </w:tcMar>
            <w:vAlign w:val="center"/>
          </w:tcPr>
          <w:p w14:paraId="0C58AC69" w14:textId="77777777" w:rsidR="001C2E41" w:rsidRDefault="00000000">
            <w:pPr>
              <w:keepNext/>
              <w:keepLines/>
              <w:spacing w:after="0" w:line="240" w:lineRule="auto"/>
            </w:pPr>
            <w:r>
              <w:rPr>
                <w:sz w:val="18"/>
              </w:rPr>
              <w:t>3239</w:t>
            </w:r>
          </w:p>
        </w:tc>
        <w:tc>
          <w:tcPr>
            <w:tcW w:w="3180" w:type="dxa"/>
            <w:tcMar>
              <w:top w:w="0" w:type="dxa"/>
              <w:bottom w:w="0" w:type="dxa"/>
            </w:tcMar>
            <w:vAlign w:val="center"/>
          </w:tcPr>
          <w:p w14:paraId="40DAFF67" w14:textId="77777777" w:rsidR="001C2E41" w:rsidRDefault="00000000">
            <w:pPr>
              <w:keepNext/>
              <w:keepLines/>
              <w:spacing w:after="0" w:line="240" w:lineRule="auto"/>
            </w:pPr>
            <w:r>
              <w:rPr>
                <w:sz w:val="18"/>
              </w:rPr>
              <w:t>Ostale usluge</w:t>
            </w:r>
          </w:p>
        </w:tc>
        <w:tc>
          <w:tcPr>
            <w:tcW w:w="700" w:type="dxa"/>
            <w:tcMar>
              <w:top w:w="0" w:type="dxa"/>
              <w:bottom w:w="0" w:type="dxa"/>
            </w:tcMar>
            <w:vAlign w:val="center"/>
          </w:tcPr>
          <w:p w14:paraId="2C84E24B" w14:textId="77777777" w:rsidR="001C2E41" w:rsidRDefault="00000000">
            <w:pPr>
              <w:keepNext/>
              <w:keepLines/>
              <w:spacing w:after="0" w:line="240" w:lineRule="auto"/>
            </w:pPr>
            <w:r>
              <w:rPr>
                <w:sz w:val="18"/>
              </w:rPr>
              <w:t>3239</w:t>
            </w:r>
          </w:p>
        </w:tc>
        <w:tc>
          <w:tcPr>
            <w:tcW w:w="1860" w:type="dxa"/>
            <w:tcMar>
              <w:top w:w="0" w:type="dxa"/>
              <w:bottom w:w="0" w:type="dxa"/>
            </w:tcMar>
            <w:vAlign w:val="center"/>
          </w:tcPr>
          <w:p w14:paraId="00EA22DA" w14:textId="77777777" w:rsidR="001C2E41" w:rsidRDefault="00000000">
            <w:pPr>
              <w:keepNext/>
              <w:keepLines/>
              <w:spacing w:after="0" w:line="240" w:lineRule="auto"/>
              <w:jc w:val="right"/>
            </w:pPr>
            <w:r>
              <w:rPr>
                <w:sz w:val="18"/>
              </w:rPr>
              <w:t>2.767.620,72</w:t>
            </w:r>
          </w:p>
        </w:tc>
        <w:tc>
          <w:tcPr>
            <w:tcW w:w="1860" w:type="dxa"/>
            <w:tcMar>
              <w:top w:w="0" w:type="dxa"/>
              <w:bottom w:w="0" w:type="dxa"/>
            </w:tcMar>
            <w:vAlign w:val="center"/>
          </w:tcPr>
          <w:p w14:paraId="3147C33D" w14:textId="77777777" w:rsidR="001C2E41" w:rsidRDefault="00000000">
            <w:pPr>
              <w:keepNext/>
              <w:keepLines/>
              <w:spacing w:after="0" w:line="240" w:lineRule="auto"/>
              <w:jc w:val="right"/>
            </w:pPr>
            <w:r>
              <w:rPr>
                <w:sz w:val="18"/>
              </w:rPr>
              <w:t>3.266.114,92</w:t>
            </w:r>
          </w:p>
        </w:tc>
        <w:tc>
          <w:tcPr>
            <w:tcW w:w="700" w:type="dxa"/>
            <w:tcMar>
              <w:top w:w="0" w:type="dxa"/>
              <w:bottom w:w="0" w:type="dxa"/>
            </w:tcMar>
            <w:vAlign w:val="center"/>
          </w:tcPr>
          <w:p w14:paraId="2919BDED" w14:textId="77777777" w:rsidR="001C2E41" w:rsidRDefault="00000000">
            <w:pPr>
              <w:keepNext/>
              <w:keepLines/>
              <w:spacing w:after="0" w:line="240" w:lineRule="auto"/>
              <w:jc w:val="right"/>
            </w:pPr>
            <w:r>
              <w:rPr>
                <w:sz w:val="18"/>
              </w:rPr>
              <w:t>118,0</w:t>
            </w:r>
          </w:p>
        </w:tc>
      </w:tr>
    </w:tbl>
    <w:p w14:paraId="6D5F9FB2" w14:textId="77777777" w:rsidR="001C2E41" w:rsidRDefault="001C2E41">
      <w:pPr>
        <w:spacing w:after="0"/>
      </w:pPr>
    </w:p>
    <w:p w14:paraId="087E6468" w14:textId="77777777" w:rsidR="001C2E41" w:rsidRDefault="00000000">
      <w:r>
        <w:lastRenderedPageBreak/>
        <w:t>Na ovoj poziciji evidentiraju se troškovi kao što su usluge čuvanja imovine, usluga čišćenja zgrada te ostali troškovi/usluge.</w:t>
      </w:r>
    </w:p>
    <w:p w14:paraId="73DE9D41" w14:textId="77777777" w:rsidR="001C2E41" w:rsidRDefault="001C2E41"/>
    <w:p w14:paraId="3E43BEA6" w14:textId="77777777" w:rsidR="001C2E41"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41D6DB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F5BFD8"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CD9DA2"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25135D"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4A383"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E1B26E"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86F7A2" w14:textId="77777777" w:rsidR="001C2E41" w:rsidRDefault="00000000">
            <w:pPr>
              <w:keepNext/>
              <w:keepLines/>
              <w:spacing w:after="0" w:line="240" w:lineRule="auto"/>
              <w:jc w:val="center"/>
            </w:pPr>
            <w:r>
              <w:rPr>
                <w:b/>
                <w:sz w:val="18"/>
              </w:rPr>
              <w:t>Indeks (%)</w:t>
            </w:r>
          </w:p>
        </w:tc>
      </w:tr>
      <w:tr w:rsidR="001C2E41" w14:paraId="041664CC" w14:textId="77777777">
        <w:tblPrEx>
          <w:tblCellMar>
            <w:top w:w="0" w:type="dxa"/>
            <w:bottom w:w="0" w:type="dxa"/>
          </w:tblCellMar>
        </w:tblPrEx>
        <w:trPr>
          <w:cantSplit/>
          <w:trHeight w:val="560"/>
        </w:trPr>
        <w:tc>
          <w:tcPr>
            <w:tcW w:w="700" w:type="dxa"/>
            <w:tcMar>
              <w:top w:w="0" w:type="dxa"/>
              <w:bottom w:w="0" w:type="dxa"/>
            </w:tcMar>
            <w:vAlign w:val="center"/>
          </w:tcPr>
          <w:p w14:paraId="6AA5A7BF" w14:textId="77777777" w:rsidR="001C2E41" w:rsidRDefault="00000000">
            <w:pPr>
              <w:keepNext/>
              <w:keepLines/>
              <w:spacing w:after="0" w:line="240" w:lineRule="auto"/>
            </w:pPr>
            <w:r>
              <w:rPr>
                <w:sz w:val="18"/>
              </w:rPr>
              <w:t>329</w:t>
            </w:r>
          </w:p>
        </w:tc>
        <w:tc>
          <w:tcPr>
            <w:tcW w:w="3180" w:type="dxa"/>
            <w:tcMar>
              <w:top w:w="0" w:type="dxa"/>
              <w:bottom w:w="0" w:type="dxa"/>
            </w:tcMar>
            <w:vAlign w:val="center"/>
          </w:tcPr>
          <w:p w14:paraId="70213C80" w14:textId="77777777" w:rsidR="001C2E41"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461AECD7" w14:textId="77777777" w:rsidR="001C2E41" w:rsidRDefault="00000000">
            <w:pPr>
              <w:keepNext/>
              <w:keepLines/>
              <w:spacing w:after="0" w:line="240" w:lineRule="auto"/>
            </w:pPr>
            <w:r>
              <w:rPr>
                <w:sz w:val="18"/>
              </w:rPr>
              <w:t>329</w:t>
            </w:r>
          </w:p>
        </w:tc>
        <w:tc>
          <w:tcPr>
            <w:tcW w:w="1860" w:type="dxa"/>
            <w:tcMar>
              <w:top w:w="0" w:type="dxa"/>
              <w:bottom w:w="0" w:type="dxa"/>
            </w:tcMar>
            <w:vAlign w:val="center"/>
          </w:tcPr>
          <w:p w14:paraId="11FCD524" w14:textId="77777777" w:rsidR="001C2E41" w:rsidRDefault="00000000">
            <w:pPr>
              <w:keepNext/>
              <w:keepLines/>
              <w:spacing w:after="0" w:line="240" w:lineRule="auto"/>
              <w:jc w:val="right"/>
            </w:pPr>
            <w:r>
              <w:rPr>
                <w:sz w:val="18"/>
              </w:rPr>
              <w:t>7.764.419,21</w:t>
            </w:r>
          </w:p>
        </w:tc>
        <w:tc>
          <w:tcPr>
            <w:tcW w:w="1860" w:type="dxa"/>
            <w:tcMar>
              <w:top w:w="0" w:type="dxa"/>
              <w:bottom w:w="0" w:type="dxa"/>
            </w:tcMar>
            <w:vAlign w:val="center"/>
          </w:tcPr>
          <w:p w14:paraId="2B89822C" w14:textId="77777777" w:rsidR="001C2E41" w:rsidRDefault="00000000">
            <w:pPr>
              <w:keepNext/>
              <w:keepLines/>
              <w:spacing w:after="0" w:line="240" w:lineRule="auto"/>
              <w:jc w:val="right"/>
            </w:pPr>
            <w:r>
              <w:rPr>
                <w:sz w:val="18"/>
              </w:rPr>
              <w:t>8.402.159,04</w:t>
            </w:r>
          </w:p>
        </w:tc>
        <w:tc>
          <w:tcPr>
            <w:tcW w:w="700" w:type="dxa"/>
            <w:tcMar>
              <w:top w:w="0" w:type="dxa"/>
              <w:bottom w:w="0" w:type="dxa"/>
            </w:tcMar>
            <w:vAlign w:val="center"/>
          </w:tcPr>
          <w:p w14:paraId="55539F62" w14:textId="77777777" w:rsidR="001C2E41" w:rsidRDefault="00000000">
            <w:pPr>
              <w:keepNext/>
              <w:keepLines/>
              <w:spacing w:after="0" w:line="240" w:lineRule="auto"/>
              <w:jc w:val="right"/>
            </w:pPr>
            <w:r>
              <w:rPr>
                <w:sz w:val="18"/>
              </w:rPr>
              <w:t>108,2</w:t>
            </w:r>
          </w:p>
        </w:tc>
      </w:tr>
    </w:tbl>
    <w:p w14:paraId="6A2592B1" w14:textId="77777777" w:rsidR="001C2E41" w:rsidRDefault="001C2E41">
      <w:pPr>
        <w:spacing w:after="0"/>
      </w:pPr>
    </w:p>
    <w:p w14:paraId="3E796D10" w14:textId="77777777" w:rsidR="001C2E41" w:rsidRDefault="00000000">
      <w:r>
        <w:t>Na ovoj poziciji evidentiraju se svi ostali rashodi poslovanja od čega se najviše ističu troškovi: </w:t>
      </w:r>
    </w:p>
    <w:p w14:paraId="5359D3B5" w14:textId="77777777" w:rsidR="001C2E41" w:rsidRDefault="00000000">
      <w:r>
        <w:t>Troškovi doprinosa za korištenje gradskog zemljišta u iznosu od 4.870.543,57 eura</w:t>
      </w:r>
    </w:p>
    <w:p w14:paraId="381B98E0" w14:textId="77777777" w:rsidR="001C2E41" w:rsidRDefault="00000000">
      <w:r>
        <w:t xml:space="preserve">Troškovi vodoprivredne naknade po osnovi rješenja u iznosu od 1.101.554,33 </w:t>
      </w:r>
      <w:proofErr w:type="spellStart"/>
      <w:r>
        <w:t>eur</w:t>
      </w:r>
      <w:proofErr w:type="spellEnd"/>
    </w:p>
    <w:p w14:paraId="15C4A637" w14:textId="77777777" w:rsidR="001C2E41" w:rsidRDefault="00000000">
      <w:r>
        <w:t>Troškovi članarine udruženjima u iznosu od 246.620,60 eura</w:t>
      </w:r>
    </w:p>
    <w:p w14:paraId="3429417B" w14:textId="77777777" w:rsidR="001C2E41" w:rsidRDefault="00000000">
      <w:r>
        <w:t> </w:t>
      </w:r>
    </w:p>
    <w:p w14:paraId="2DC1D9AF" w14:textId="77777777" w:rsidR="001C2E41" w:rsidRDefault="001C2E41"/>
    <w:p w14:paraId="00C8EBCA" w14:textId="77777777" w:rsidR="001C2E41"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2F4F5A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0A565C"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9FE72F"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74BA42"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1A5B0D"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240347"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9E7084" w14:textId="77777777" w:rsidR="001C2E41" w:rsidRDefault="00000000">
            <w:pPr>
              <w:keepNext/>
              <w:keepLines/>
              <w:spacing w:after="0" w:line="240" w:lineRule="auto"/>
              <w:jc w:val="center"/>
            </w:pPr>
            <w:r>
              <w:rPr>
                <w:b/>
                <w:sz w:val="18"/>
              </w:rPr>
              <w:t>Indeks (%)</w:t>
            </w:r>
          </w:p>
        </w:tc>
      </w:tr>
      <w:tr w:rsidR="001C2E41" w14:paraId="189B23A1" w14:textId="77777777">
        <w:tblPrEx>
          <w:tblCellMar>
            <w:top w:w="0" w:type="dxa"/>
            <w:bottom w:w="0" w:type="dxa"/>
          </w:tblCellMar>
        </w:tblPrEx>
        <w:trPr>
          <w:cantSplit/>
          <w:trHeight w:val="560"/>
        </w:trPr>
        <w:tc>
          <w:tcPr>
            <w:tcW w:w="700" w:type="dxa"/>
            <w:tcMar>
              <w:top w:w="0" w:type="dxa"/>
              <w:bottom w:w="0" w:type="dxa"/>
            </w:tcMar>
            <w:vAlign w:val="center"/>
          </w:tcPr>
          <w:p w14:paraId="125D7AC6" w14:textId="77777777" w:rsidR="001C2E41" w:rsidRDefault="00000000">
            <w:pPr>
              <w:keepNext/>
              <w:keepLines/>
              <w:spacing w:after="0" w:line="240" w:lineRule="auto"/>
            </w:pPr>
            <w:r>
              <w:rPr>
                <w:sz w:val="18"/>
              </w:rPr>
              <w:t>34</w:t>
            </w:r>
          </w:p>
        </w:tc>
        <w:tc>
          <w:tcPr>
            <w:tcW w:w="3180" w:type="dxa"/>
            <w:tcMar>
              <w:top w:w="0" w:type="dxa"/>
              <w:bottom w:w="0" w:type="dxa"/>
            </w:tcMar>
            <w:vAlign w:val="center"/>
          </w:tcPr>
          <w:p w14:paraId="273BB108" w14:textId="77777777" w:rsidR="001C2E41"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3803551A" w14:textId="77777777" w:rsidR="001C2E41" w:rsidRDefault="00000000">
            <w:pPr>
              <w:keepNext/>
              <w:keepLines/>
              <w:spacing w:after="0" w:line="240" w:lineRule="auto"/>
            </w:pPr>
            <w:r>
              <w:rPr>
                <w:sz w:val="18"/>
              </w:rPr>
              <w:t>34</w:t>
            </w:r>
          </w:p>
        </w:tc>
        <w:tc>
          <w:tcPr>
            <w:tcW w:w="1860" w:type="dxa"/>
            <w:tcMar>
              <w:top w:w="0" w:type="dxa"/>
              <w:bottom w:w="0" w:type="dxa"/>
            </w:tcMar>
            <w:vAlign w:val="center"/>
          </w:tcPr>
          <w:p w14:paraId="72E48E13" w14:textId="77777777" w:rsidR="001C2E41" w:rsidRDefault="00000000">
            <w:pPr>
              <w:keepNext/>
              <w:keepLines/>
              <w:spacing w:after="0" w:line="240" w:lineRule="auto"/>
              <w:jc w:val="right"/>
            </w:pPr>
            <w:r>
              <w:rPr>
                <w:sz w:val="18"/>
              </w:rPr>
              <w:t>10.465.359,76</w:t>
            </w:r>
          </w:p>
        </w:tc>
        <w:tc>
          <w:tcPr>
            <w:tcW w:w="1860" w:type="dxa"/>
            <w:tcMar>
              <w:top w:w="0" w:type="dxa"/>
              <w:bottom w:w="0" w:type="dxa"/>
            </w:tcMar>
            <w:vAlign w:val="center"/>
          </w:tcPr>
          <w:p w14:paraId="452B619E" w14:textId="77777777" w:rsidR="001C2E41" w:rsidRDefault="00000000">
            <w:pPr>
              <w:keepNext/>
              <w:keepLines/>
              <w:spacing w:after="0" w:line="240" w:lineRule="auto"/>
              <w:jc w:val="right"/>
            </w:pPr>
            <w:r>
              <w:rPr>
                <w:sz w:val="18"/>
              </w:rPr>
              <w:t>5.064.783,38</w:t>
            </w:r>
          </w:p>
        </w:tc>
        <w:tc>
          <w:tcPr>
            <w:tcW w:w="700" w:type="dxa"/>
            <w:tcMar>
              <w:top w:w="0" w:type="dxa"/>
              <w:bottom w:w="0" w:type="dxa"/>
            </w:tcMar>
            <w:vAlign w:val="center"/>
          </w:tcPr>
          <w:p w14:paraId="2C4CC7D6" w14:textId="77777777" w:rsidR="001C2E41" w:rsidRDefault="00000000">
            <w:pPr>
              <w:keepNext/>
              <w:keepLines/>
              <w:spacing w:after="0" w:line="240" w:lineRule="auto"/>
              <w:jc w:val="right"/>
            </w:pPr>
            <w:r>
              <w:rPr>
                <w:sz w:val="18"/>
              </w:rPr>
              <w:t>48,4</w:t>
            </w:r>
          </w:p>
        </w:tc>
      </w:tr>
    </w:tbl>
    <w:p w14:paraId="12B28486" w14:textId="77777777" w:rsidR="001C2E41" w:rsidRDefault="001C2E41">
      <w:pPr>
        <w:spacing w:after="0"/>
      </w:pPr>
    </w:p>
    <w:p w14:paraId="6592C286" w14:textId="77777777" w:rsidR="001C2E41" w:rsidRDefault="00000000">
      <w:r>
        <w:t>Financijski rashodi u 2025. godini su se smanjili u odnosu na prethodno razdoblje Odlukom Vlade o davanju suglasnosti za preuzimanje kreditnih obveza društva HŽI. Preuzete su kreditne obveze: glavnica, kamata i naknada.</w:t>
      </w:r>
    </w:p>
    <w:p w14:paraId="4A3D7136" w14:textId="77777777" w:rsidR="001C2E41" w:rsidRDefault="001C2E41"/>
    <w:p w14:paraId="322CF8FD" w14:textId="77777777" w:rsidR="001C2E41"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5EB306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58C99F"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3B85B9"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85BD16"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B3CC48"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B0D772"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4622D5" w14:textId="77777777" w:rsidR="001C2E41" w:rsidRDefault="00000000">
            <w:pPr>
              <w:keepNext/>
              <w:keepLines/>
              <w:spacing w:after="0" w:line="240" w:lineRule="auto"/>
              <w:jc w:val="center"/>
            </w:pPr>
            <w:r>
              <w:rPr>
                <w:b/>
                <w:sz w:val="18"/>
              </w:rPr>
              <w:t>Indeks (%)</w:t>
            </w:r>
          </w:p>
        </w:tc>
      </w:tr>
      <w:tr w:rsidR="001C2E41" w14:paraId="2E5D7CFE" w14:textId="77777777">
        <w:tblPrEx>
          <w:tblCellMar>
            <w:top w:w="0" w:type="dxa"/>
            <w:bottom w:w="0" w:type="dxa"/>
          </w:tblCellMar>
        </w:tblPrEx>
        <w:trPr>
          <w:cantSplit/>
          <w:trHeight w:val="560"/>
        </w:trPr>
        <w:tc>
          <w:tcPr>
            <w:tcW w:w="700" w:type="dxa"/>
            <w:tcMar>
              <w:top w:w="0" w:type="dxa"/>
              <w:bottom w:w="0" w:type="dxa"/>
            </w:tcMar>
            <w:vAlign w:val="center"/>
          </w:tcPr>
          <w:p w14:paraId="151B430D" w14:textId="77777777" w:rsidR="001C2E41" w:rsidRDefault="00000000">
            <w:pPr>
              <w:keepNext/>
              <w:keepLines/>
              <w:spacing w:after="0" w:line="240" w:lineRule="auto"/>
            </w:pPr>
            <w:r>
              <w:rPr>
                <w:sz w:val="18"/>
              </w:rPr>
              <w:t>4</w:t>
            </w:r>
          </w:p>
        </w:tc>
        <w:tc>
          <w:tcPr>
            <w:tcW w:w="3180" w:type="dxa"/>
            <w:tcMar>
              <w:top w:w="0" w:type="dxa"/>
              <w:bottom w:w="0" w:type="dxa"/>
            </w:tcMar>
            <w:vAlign w:val="center"/>
          </w:tcPr>
          <w:p w14:paraId="51E7F960" w14:textId="77777777" w:rsidR="001C2E41"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B56C5CB" w14:textId="77777777" w:rsidR="001C2E41" w:rsidRDefault="00000000">
            <w:pPr>
              <w:keepNext/>
              <w:keepLines/>
              <w:spacing w:after="0" w:line="240" w:lineRule="auto"/>
            </w:pPr>
            <w:r>
              <w:rPr>
                <w:sz w:val="18"/>
              </w:rPr>
              <w:t>4</w:t>
            </w:r>
          </w:p>
        </w:tc>
        <w:tc>
          <w:tcPr>
            <w:tcW w:w="1860" w:type="dxa"/>
            <w:tcMar>
              <w:top w:w="0" w:type="dxa"/>
              <w:bottom w:w="0" w:type="dxa"/>
            </w:tcMar>
            <w:vAlign w:val="center"/>
          </w:tcPr>
          <w:p w14:paraId="5AEEE87E" w14:textId="77777777" w:rsidR="001C2E41" w:rsidRDefault="00000000">
            <w:pPr>
              <w:keepNext/>
              <w:keepLines/>
              <w:spacing w:after="0" w:line="240" w:lineRule="auto"/>
              <w:jc w:val="right"/>
            </w:pPr>
            <w:r>
              <w:rPr>
                <w:sz w:val="18"/>
              </w:rPr>
              <w:t>254.738.221,33</w:t>
            </w:r>
          </w:p>
        </w:tc>
        <w:tc>
          <w:tcPr>
            <w:tcW w:w="1860" w:type="dxa"/>
            <w:tcMar>
              <w:top w:w="0" w:type="dxa"/>
              <w:bottom w:w="0" w:type="dxa"/>
            </w:tcMar>
            <w:vAlign w:val="center"/>
          </w:tcPr>
          <w:p w14:paraId="1A5A0B42" w14:textId="77777777" w:rsidR="001C2E41" w:rsidRDefault="00000000">
            <w:pPr>
              <w:keepNext/>
              <w:keepLines/>
              <w:spacing w:after="0" w:line="240" w:lineRule="auto"/>
              <w:jc w:val="right"/>
            </w:pPr>
            <w:r>
              <w:rPr>
                <w:sz w:val="18"/>
              </w:rPr>
              <w:t>314.474.890,81</w:t>
            </w:r>
          </w:p>
        </w:tc>
        <w:tc>
          <w:tcPr>
            <w:tcW w:w="700" w:type="dxa"/>
            <w:tcMar>
              <w:top w:w="0" w:type="dxa"/>
              <w:bottom w:w="0" w:type="dxa"/>
            </w:tcMar>
            <w:vAlign w:val="center"/>
          </w:tcPr>
          <w:p w14:paraId="0B6EA285" w14:textId="77777777" w:rsidR="001C2E41" w:rsidRDefault="00000000">
            <w:pPr>
              <w:keepNext/>
              <w:keepLines/>
              <w:spacing w:after="0" w:line="240" w:lineRule="auto"/>
              <w:jc w:val="right"/>
            </w:pPr>
            <w:r>
              <w:rPr>
                <w:sz w:val="18"/>
              </w:rPr>
              <w:t>123,5</w:t>
            </w:r>
          </w:p>
        </w:tc>
      </w:tr>
    </w:tbl>
    <w:p w14:paraId="5390EA59" w14:textId="77777777" w:rsidR="001C2E41" w:rsidRDefault="001C2E41">
      <w:pPr>
        <w:spacing w:after="0"/>
      </w:pPr>
    </w:p>
    <w:p w14:paraId="797B3C82" w14:textId="77777777" w:rsidR="001C2E41" w:rsidRDefault="00000000">
      <w:r>
        <w:t>Rashodi za nabavu nefinancijske imovine odnosi se na investicijsko poslovanje i to na:</w:t>
      </w:r>
    </w:p>
    <w:p w14:paraId="07CD41D0" w14:textId="77777777" w:rsidR="001C2E41" w:rsidRDefault="00000000">
      <w:r>
        <w:t>Ø  Program međunarodnih pruga ( obnova postojećih pruga) </w:t>
      </w:r>
    </w:p>
    <w:p w14:paraId="68628254" w14:textId="77777777" w:rsidR="001C2E41" w:rsidRDefault="00000000">
      <w:r>
        <w:t>Ø  Program regionalnih pruga (obnova postojećih pruga) </w:t>
      </w:r>
    </w:p>
    <w:p w14:paraId="262ED271" w14:textId="77777777" w:rsidR="001C2E41" w:rsidRDefault="00000000">
      <w:r>
        <w:t>Ø  Program lokalnih pruga (obnova postojećih pruga ) </w:t>
      </w:r>
    </w:p>
    <w:p w14:paraId="6D4C118A" w14:textId="77777777" w:rsidR="001C2E41" w:rsidRDefault="00000000">
      <w:r>
        <w:lastRenderedPageBreak/>
        <w:t>Ø  Čvor Zagreb </w:t>
      </w:r>
    </w:p>
    <w:p w14:paraId="1A49C8D5" w14:textId="77777777" w:rsidR="001C2E41" w:rsidRDefault="00000000">
      <w:r>
        <w:t>Ø  Ostalo </w:t>
      </w:r>
    </w:p>
    <w:p w14:paraId="1BAA43DC" w14:textId="77777777" w:rsidR="001C2E41" w:rsidRDefault="00000000">
      <w:r>
        <w:t>Ø  Izgradnja novih pruga </w:t>
      </w:r>
    </w:p>
    <w:p w14:paraId="6DFA1667" w14:textId="77777777" w:rsidR="001C2E41" w:rsidRDefault="001C2E41"/>
    <w:p w14:paraId="2E3A5233" w14:textId="77777777" w:rsidR="001C2E41"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05D00C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702DD8"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9B7D9B"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2E5762"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DB2DA8"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737047"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A7435D" w14:textId="77777777" w:rsidR="001C2E41" w:rsidRDefault="00000000">
            <w:pPr>
              <w:keepNext/>
              <w:keepLines/>
              <w:spacing w:after="0" w:line="240" w:lineRule="auto"/>
              <w:jc w:val="center"/>
            </w:pPr>
            <w:r>
              <w:rPr>
                <w:b/>
                <w:sz w:val="18"/>
              </w:rPr>
              <w:t>Indeks (%)</w:t>
            </w:r>
          </w:p>
        </w:tc>
      </w:tr>
      <w:tr w:rsidR="001C2E41" w14:paraId="2DE5C602" w14:textId="77777777">
        <w:tblPrEx>
          <w:tblCellMar>
            <w:top w:w="0" w:type="dxa"/>
            <w:bottom w:w="0" w:type="dxa"/>
          </w:tblCellMar>
        </w:tblPrEx>
        <w:trPr>
          <w:cantSplit/>
          <w:trHeight w:val="560"/>
        </w:trPr>
        <w:tc>
          <w:tcPr>
            <w:tcW w:w="700" w:type="dxa"/>
            <w:tcMar>
              <w:top w:w="0" w:type="dxa"/>
              <w:bottom w:w="0" w:type="dxa"/>
            </w:tcMar>
            <w:vAlign w:val="center"/>
          </w:tcPr>
          <w:p w14:paraId="196CCF3C" w14:textId="77777777" w:rsidR="001C2E41" w:rsidRDefault="00000000">
            <w:pPr>
              <w:keepNext/>
              <w:keepLines/>
              <w:spacing w:after="0" w:line="240" w:lineRule="auto"/>
            </w:pPr>
            <w:r>
              <w:rPr>
                <w:sz w:val="18"/>
              </w:rPr>
              <w:t>832</w:t>
            </w:r>
          </w:p>
        </w:tc>
        <w:tc>
          <w:tcPr>
            <w:tcW w:w="3180" w:type="dxa"/>
            <w:tcMar>
              <w:top w:w="0" w:type="dxa"/>
              <w:bottom w:w="0" w:type="dxa"/>
            </w:tcMar>
            <w:vAlign w:val="center"/>
          </w:tcPr>
          <w:p w14:paraId="7E56F474" w14:textId="77777777" w:rsidR="001C2E41" w:rsidRDefault="00000000">
            <w:pPr>
              <w:keepNext/>
              <w:keepLines/>
              <w:spacing w:after="0" w:line="240" w:lineRule="auto"/>
            </w:pPr>
            <w:r>
              <w:rPr>
                <w:sz w:val="18"/>
              </w:rPr>
              <w:t>Primici od prodaje dionica i udjela u glavnici trgovačkih društava u javnom sektoru</w:t>
            </w:r>
          </w:p>
        </w:tc>
        <w:tc>
          <w:tcPr>
            <w:tcW w:w="700" w:type="dxa"/>
            <w:tcMar>
              <w:top w:w="0" w:type="dxa"/>
              <w:bottom w:w="0" w:type="dxa"/>
            </w:tcMar>
            <w:vAlign w:val="center"/>
          </w:tcPr>
          <w:p w14:paraId="68ED072A" w14:textId="77777777" w:rsidR="001C2E41" w:rsidRDefault="00000000">
            <w:pPr>
              <w:keepNext/>
              <w:keepLines/>
              <w:spacing w:after="0" w:line="240" w:lineRule="auto"/>
            </w:pPr>
            <w:r>
              <w:rPr>
                <w:sz w:val="18"/>
              </w:rPr>
              <w:t>832</w:t>
            </w:r>
          </w:p>
        </w:tc>
        <w:tc>
          <w:tcPr>
            <w:tcW w:w="1860" w:type="dxa"/>
            <w:tcMar>
              <w:top w:w="0" w:type="dxa"/>
              <w:bottom w:w="0" w:type="dxa"/>
            </w:tcMar>
            <w:vAlign w:val="center"/>
          </w:tcPr>
          <w:p w14:paraId="6838CE5E" w14:textId="77777777" w:rsidR="001C2E41" w:rsidRDefault="00000000">
            <w:pPr>
              <w:keepNext/>
              <w:keepLines/>
              <w:spacing w:after="0" w:line="240" w:lineRule="auto"/>
              <w:jc w:val="right"/>
            </w:pPr>
            <w:r>
              <w:rPr>
                <w:sz w:val="18"/>
              </w:rPr>
              <w:t>0,00</w:t>
            </w:r>
          </w:p>
        </w:tc>
        <w:tc>
          <w:tcPr>
            <w:tcW w:w="1860" w:type="dxa"/>
            <w:tcMar>
              <w:top w:w="0" w:type="dxa"/>
              <w:bottom w:w="0" w:type="dxa"/>
            </w:tcMar>
            <w:vAlign w:val="center"/>
          </w:tcPr>
          <w:p w14:paraId="6651CC81" w14:textId="77777777" w:rsidR="001C2E41" w:rsidRDefault="00000000">
            <w:pPr>
              <w:keepNext/>
              <w:keepLines/>
              <w:spacing w:after="0" w:line="240" w:lineRule="auto"/>
              <w:jc w:val="right"/>
            </w:pPr>
            <w:r>
              <w:rPr>
                <w:sz w:val="18"/>
              </w:rPr>
              <w:t>25.000.000,00</w:t>
            </w:r>
          </w:p>
        </w:tc>
        <w:tc>
          <w:tcPr>
            <w:tcW w:w="700" w:type="dxa"/>
            <w:tcMar>
              <w:top w:w="0" w:type="dxa"/>
              <w:bottom w:w="0" w:type="dxa"/>
            </w:tcMar>
            <w:vAlign w:val="center"/>
          </w:tcPr>
          <w:p w14:paraId="6B1F6154" w14:textId="77777777" w:rsidR="001C2E41" w:rsidRDefault="00000000">
            <w:pPr>
              <w:keepNext/>
              <w:keepLines/>
              <w:spacing w:after="0" w:line="240" w:lineRule="auto"/>
              <w:jc w:val="right"/>
            </w:pPr>
            <w:r>
              <w:rPr>
                <w:sz w:val="18"/>
              </w:rPr>
              <w:t>-</w:t>
            </w:r>
          </w:p>
        </w:tc>
      </w:tr>
    </w:tbl>
    <w:p w14:paraId="62EA032E" w14:textId="77777777" w:rsidR="001C2E41" w:rsidRDefault="001C2E41">
      <w:pPr>
        <w:spacing w:after="0"/>
      </w:pPr>
    </w:p>
    <w:p w14:paraId="4688EE5A" w14:textId="77777777" w:rsidR="001C2E41" w:rsidRDefault="00000000">
      <w:r>
        <w:t>25.000.000,00 EUR odnosi se na isplatu namire RH HŽI-u sukladno Nagodbi o uređenju imovinsko pravnih pitanja preostalih nakon podjele HŽ Hrvatske željeznice d.o.o. </w:t>
      </w:r>
    </w:p>
    <w:p w14:paraId="0E2CC917" w14:textId="77777777" w:rsidR="001C2E41" w:rsidRDefault="001C2E41"/>
    <w:p w14:paraId="672B3B63" w14:textId="77777777" w:rsidR="001C2E41"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6B3E07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924279"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0CD8F4"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EBB693"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C7F1A3"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8DD8B3"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BF26BE" w14:textId="77777777" w:rsidR="001C2E41" w:rsidRDefault="00000000">
            <w:pPr>
              <w:keepNext/>
              <w:keepLines/>
              <w:spacing w:after="0" w:line="240" w:lineRule="auto"/>
              <w:jc w:val="center"/>
            </w:pPr>
            <w:r>
              <w:rPr>
                <w:b/>
                <w:sz w:val="18"/>
              </w:rPr>
              <w:t>Indeks (%)</w:t>
            </w:r>
          </w:p>
        </w:tc>
      </w:tr>
      <w:tr w:rsidR="001C2E41" w14:paraId="47AFA4B1" w14:textId="77777777">
        <w:tblPrEx>
          <w:tblCellMar>
            <w:top w:w="0" w:type="dxa"/>
            <w:bottom w:w="0" w:type="dxa"/>
          </w:tblCellMar>
        </w:tblPrEx>
        <w:trPr>
          <w:cantSplit/>
          <w:trHeight w:val="560"/>
        </w:trPr>
        <w:tc>
          <w:tcPr>
            <w:tcW w:w="700" w:type="dxa"/>
            <w:tcMar>
              <w:top w:w="0" w:type="dxa"/>
              <w:bottom w:w="0" w:type="dxa"/>
            </w:tcMar>
            <w:vAlign w:val="center"/>
          </w:tcPr>
          <w:p w14:paraId="45A2BC72" w14:textId="77777777" w:rsidR="001C2E41" w:rsidRDefault="00000000">
            <w:pPr>
              <w:keepNext/>
              <w:keepLines/>
              <w:spacing w:after="0" w:line="240" w:lineRule="auto"/>
            </w:pPr>
            <w:r>
              <w:rPr>
                <w:sz w:val="18"/>
              </w:rPr>
              <w:t>84</w:t>
            </w:r>
          </w:p>
        </w:tc>
        <w:tc>
          <w:tcPr>
            <w:tcW w:w="3180" w:type="dxa"/>
            <w:tcMar>
              <w:top w:w="0" w:type="dxa"/>
              <w:bottom w:w="0" w:type="dxa"/>
            </w:tcMar>
            <w:vAlign w:val="center"/>
          </w:tcPr>
          <w:p w14:paraId="0F243929" w14:textId="77777777" w:rsidR="001C2E41" w:rsidRDefault="00000000">
            <w:pPr>
              <w:keepNext/>
              <w:keepLines/>
              <w:spacing w:after="0" w:line="240" w:lineRule="auto"/>
            </w:pPr>
            <w:r>
              <w:rPr>
                <w:sz w:val="18"/>
              </w:rPr>
              <w:t>Primici od zaduživanja (šifre 841+842+843+844+845+847)</w:t>
            </w:r>
          </w:p>
        </w:tc>
        <w:tc>
          <w:tcPr>
            <w:tcW w:w="700" w:type="dxa"/>
            <w:tcMar>
              <w:top w:w="0" w:type="dxa"/>
              <w:bottom w:w="0" w:type="dxa"/>
            </w:tcMar>
            <w:vAlign w:val="center"/>
          </w:tcPr>
          <w:p w14:paraId="7BB181E7" w14:textId="77777777" w:rsidR="001C2E41" w:rsidRDefault="00000000">
            <w:pPr>
              <w:keepNext/>
              <w:keepLines/>
              <w:spacing w:after="0" w:line="240" w:lineRule="auto"/>
            </w:pPr>
            <w:r>
              <w:rPr>
                <w:sz w:val="18"/>
              </w:rPr>
              <w:t>84</w:t>
            </w:r>
          </w:p>
        </w:tc>
        <w:tc>
          <w:tcPr>
            <w:tcW w:w="1860" w:type="dxa"/>
            <w:tcMar>
              <w:top w:w="0" w:type="dxa"/>
              <w:bottom w:w="0" w:type="dxa"/>
            </w:tcMar>
            <w:vAlign w:val="center"/>
          </w:tcPr>
          <w:p w14:paraId="63D17AF8" w14:textId="77777777" w:rsidR="001C2E41" w:rsidRDefault="00000000">
            <w:pPr>
              <w:keepNext/>
              <w:keepLines/>
              <w:spacing w:after="0" w:line="240" w:lineRule="auto"/>
              <w:jc w:val="right"/>
            </w:pPr>
            <w:r>
              <w:rPr>
                <w:sz w:val="18"/>
              </w:rPr>
              <w:t>60.014.110,59</w:t>
            </w:r>
          </w:p>
        </w:tc>
        <w:tc>
          <w:tcPr>
            <w:tcW w:w="1860" w:type="dxa"/>
            <w:tcMar>
              <w:top w:w="0" w:type="dxa"/>
              <w:bottom w:w="0" w:type="dxa"/>
            </w:tcMar>
            <w:vAlign w:val="center"/>
          </w:tcPr>
          <w:p w14:paraId="76676644" w14:textId="77777777" w:rsidR="001C2E41" w:rsidRDefault="00000000">
            <w:pPr>
              <w:keepNext/>
              <w:keepLines/>
              <w:spacing w:after="0" w:line="240" w:lineRule="auto"/>
              <w:jc w:val="right"/>
            </w:pPr>
            <w:r>
              <w:rPr>
                <w:sz w:val="18"/>
              </w:rPr>
              <w:t>30.000.000,00</w:t>
            </w:r>
          </w:p>
        </w:tc>
        <w:tc>
          <w:tcPr>
            <w:tcW w:w="700" w:type="dxa"/>
            <w:tcMar>
              <w:top w:w="0" w:type="dxa"/>
              <w:bottom w:w="0" w:type="dxa"/>
            </w:tcMar>
            <w:vAlign w:val="center"/>
          </w:tcPr>
          <w:p w14:paraId="77CB274D" w14:textId="77777777" w:rsidR="001C2E41" w:rsidRDefault="00000000">
            <w:pPr>
              <w:keepNext/>
              <w:keepLines/>
              <w:spacing w:after="0" w:line="240" w:lineRule="auto"/>
              <w:jc w:val="right"/>
            </w:pPr>
            <w:r>
              <w:rPr>
                <w:sz w:val="18"/>
              </w:rPr>
              <w:t>50,0</w:t>
            </w:r>
          </w:p>
        </w:tc>
      </w:tr>
    </w:tbl>
    <w:p w14:paraId="384DED8C" w14:textId="77777777" w:rsidR="001C2E41" w:rsidRDefault="001C2E41">
      <w:pPr>
        <w:spacing w:after="0"/>
      </w:pPr>
    </w:p>
    <w:p w14:paraId="209EE622" w14:textId="77777777" w:rsidR="001C2E41" w:rsidRDefault="00000000">
      <w:r>
        <w:t xml:space="preserve">30.000.000,00 </w:t>
      </w:r>
      <w:proofErr w:type="spellStart"/>
      <w:r>
        <w:t>eur</w:t>
      </w:r>
      <w:proofErr w:type="spellEnd"/>
      <w:r>
        <w:t xml:space="preserve"> odnosi na primljene kredite i zajmove od kreditnih i ostalih financijskih institucija izvan javnog sektora (Hrvatska poštanska banka)</w:t>
      </w:r>
    </w:p>
    <w:p w14:paraId="0AEF6AC4" w14:textId="77777777" w:rsidR="001C2E41" w:rsidRDefault="001C2E41"/>
    <w:p w14:paraId="1DDF8E76" w14:textId="77777777" w:rsidR="001C2E41"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2E6051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69139E"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226A90"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5F122B"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48DF34"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A790B9"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680A4F" w14:textId="77777777" w:rsidR="001C2E41" w:rsidRDefault="00000000">
            <w:pPr>
              <w:keepNext/>
              <w:keepLines/>
              <w:spacing w:after="0" w:line="240" w:lineRule="auto"/>
              <w:jc w:val="center"/>
            </w:pPr>
            <w:r>
              <w:rPr>
                <w:b/>
                <w:sz w:val="18"/>
              </w:rPr>
              <w:t>Indeks (%)</w:t>
            </w:r>
          </w:p>
        </w:tc>
      </w:tr>
      <w:tr w:rsidR="001C2E41" w14:paraId="0F54B9F6" w14:textId="77777777">
        <w:tblPrEx>
          <w:tblCellMar>
            <w:top w:w="0" w:type="dxa"/>
            <w:bottom w:w="0" w:type="dxa"/>
          </w:tblCellMar>
        </w:tblPrEx>
        <w:trPr>
          <w:cantSplit/>
          <w:trHeight w:val="560"/>
        </w:trPr>
        <w:tc>
          <w:tcPr>
            <w:tcW w:w="700" w:type="dxa"/>
            <w:tcMar>
              <w:top w:w="0" w:type="dxa"/>
              <w:bottom w:w="0" w:type="dxa"/>
            </w:tcMar>
            <w:vAlign w:val="center"/>
          </w:tcPr>
          <w:p w14:paraId="401D4BE0" w14:textId="77777777" w:rsidR="001C2E41" w:rsidRDefault="00000000">
            <w:pPr>
              <w:keepNext/>
              <w:keepLines/>
              <w:spacing w:after="0" w:line="240" w:lineRule="auto"/>
            </w:pPr>
            <w:r>
              <w:rPr>
                <w:sz w:val="18"/>
              </w:rPr>
              <w:t>5</w:t>
            </w:r>
          </w:p>
        </w:tc>
        <w:tc>
          <w:tcPr>
            <w:tcW w:w="3180" w:type="dxa"/>
            <w:tcMar>
              <w:top w:w="0" w:type="dxa"/>
              <w:bottom w:w="0" w:type="dxa"/>
            </w:tcMar>
            <w:vAlign w:val="center"/>
          </w:tcPr>
          <w:p w14:paraId="3EF49EFA" w14:textId="77777777" w:rsidR="001C2E41"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983A50D" w14:textId="77777777" w:rsidR="001C2E41" w:rsidRDefault="00000000">
            <w:pPr>
              <w:keepNext/>
              <w:keepLines/>
              <w:spacing w:after="0" w:line="240" w:lineRule="auto"/>
            </w:pPr>
            <w:r>
              <w:rPr>
                <w:sz w:val="18"/>
              </w:rPr>
              <w:t>5</w:t>
            </w:r>
          </w:p>
        </w:tc>
        <w:tc>
          <w:tcPr>
            <w:tcW w:w="1860" w:type="dxa"/>
            <w:tcMar>
              <w:top w:w="0" w:type="dxa"/>
              <w:bottom w:w="0" w:type="dxa"/>
            </w:tcMar>
            <w:vAlign w:val="center"/>
          </w:tcPr>
          <w:p w14:paraId="5A5FC175" w14:textId="77777777" w:rsidR="001C2E41" w:rsidRDefault="00000000">
            <w:pPr>
              <w:keepNext/>
              <w:keepLines/>
              <w:spacing w:after="0" w:line="240" w:lineRule="auto"/>
              <w:jc w:val="right"/>
            </w:pPr>
            <w:r>
              <w:rPr>
                <w:sz w:val="18"/>
              </w:rPr>
              <w:t>101.755.959,73</w:t>
            </w:r>
          </w:p>
        </w:tc>
        <w:tc>
          <w:tcPr>
            <w:tcW w:w="1860" w:type="dxa"/>
            <w:tcMar>
              <w:top w:w="0" w:type="dxa"/>
              <w:bottom w:w="0" w:type="dxa"/>
            </w:tcMar>
            <w:vAlign w:val="center"/>
          </w:tcPr>
          <w:p w14:paraId="268D8843" w14:textId="77777777" w:rsidR="001C2E41" w:rsidRDefault="00000000">
            <w:pPr>
              <w:keepNext/>
              <w:keepLines/>
              <w:spacing w:after="0" w:line="240" w:lineRule="auto"/>
              <w:jc w:val="right"/>
            </w:pPr>
            <w:r>
              <w:rPr>
                <w:sz w:val="18"/>
              </w:rPr>
              <w:t>65.669.232,69</w:t>
            </w:r>
          </w:p>
        </w:tc>
        <w:tc>
          <w:tcPr>
            <w:tcW w:w="700" w:type="dxa"/>
            <w:tcMar>
              <w:top w:w="0" w:type="dxa"/>
              <w:bottom w:w="0" w:type="dxa"/>
            </w:tcMar>
            <w:vAlign w:val="center"/>
          </w:tcPr>
          <w:p w14:paraId="1EB13541" w14:textId="77777777" w:rsidR="001C2E41" w:rsidRDefault="00000000">
            <w:pPr>
              <w:keepNext/>
              <w:keepLines/>
              <w:spacing w:after="0" w:line="240" w:lineRule="auto"/>
              <w:jc w:val="right"/>
            </w:pPr>
            <w:r>
              <w:rPr>
                <w:sz w:val="18"/>
              </w:rPr>
              <w:t>64,5</w:t>
            </w:r>
          </w:p>
        </w:tc>
      </w:tr>
    </w:tbl>
    <w:p w14:paraId="406EC073" w14:textId="77777777" w:rsidR="001C2E41" w:rsidRDefault="001C2E41">
      <w:pPr>
        <w:spacing w:after="0"/>
      </w:pPr>
    </w:p>
    <w:p w14:paraId="73D9CA73" w14:textId="77777777" w:rsidR="001C2E41" w:rsidRDefault="00000000">
      <w:r>
        <w:t>Izdaci za financijsku imovinu i otplatu zajmova u 2025. godini su se smanjili u odnosu na prethodno razdoblje Odlukom Vlade o davanju suglasnosti za preuzimanje kreditnih obveza društva HŽI. Preuzete su kreditne obveze: glavnica, kamata i naknada.</w:t>
      </w:r>
    </w:p>
    <w:p w14:paraId="05389358" w14:textId="77777777" w:rsidR="001C2E41" w:rsidRDefault="001C2E41"/>
    <w:p w14:paraId="66794A4B" w14:textId="77777777" w:rsidR="001C2E41"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14BD1C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240958"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87569A"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121F6C"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4C4508" w14:textId="77777777" w:rsidR="001C2E4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0112BB" w14:textId="77777777" w:rsidR="001C2E4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386D12" w14:textId="77777777" w:rsidR="001C2E41" w:rsidRDefault="00000000">
            <w:pPr>
              <w:keepNext/>
              <w:keepLines/>
              <w:spacing w:after="0" w:line="240" w:lineRule="auto"/>
              <w:jc w:val="center"/>
            </w:pPr>
            <w:r>
              <w:rPr>
                <w:b/>
                <w:sz w:val="18"/>
              </w:rPr>
              <w:t>Indeks (%)</w:t>
            </w:r>
          </w:p>
        </w:tc>
      </w:tr>
      <w:tr w:rsidR="001C2E41" w14:paraId="0391D90E" w14:textId="77777777">
        <w:tblPrEx>
          <w:tblCellMar>
            <w:top w:w="0" w:type="dxa"/>
            <w:bottom w:w="0" w:type="dxa"/>
          </w:tblCellMar>
        </w:tblPrEx>
        <w:trPr>
          <w:cantSplit/>
          <w:trHeight w:val="560"/>
        </w:trPr>
        <w:tc>
          <w:tcPr>
            <w:tcW w:w="700" w:type="dxa"/>
            <w:tcMar>
              <w:top w:w="0" w:type="dxa"/>
              <w:bottom w:w="0" w:type="dxa"/>
            </w:tcMar>
            <w:vAlign w:val="center"/>
          </w:tcPr>
          <w:p w14:paraId="360AFA86" w14:textId="77777777" w:rsidR="001C2E41" w:rsidRDefault="00000000">
            <w:pPr>
              <w:keepNext/>
              <w:keepLines/>
              <w:spacing w:after="0" w:line="240" w:lineRule="auto"/>
            </w:pPr>
            <w:r>
              <w:rPr>
                <w:sz w:val="18"/>
              </w:rPr>
              <w:t>54</w:t>
            </w:r>
          </w:p>
        </w:tc>
        <w:tc>
          <w:tcPr>
            <w:tcW w:w="3180" w:type="dxa"/>
            <w:tcMar>
              <w:top w:w="0" w:type="dxa"/>
              <w:bottom w:w="0" w:type="dxa"/>
            </w:tcMar>
            <w:vAlign w:val="center"/>
          </w:tcPr>
          <w:p w14:paraId="5E39C563" w14:textId="77777777" w:rsidR="001C2E41" w:rsidRDefault="0000000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69565794" w14:textId="77777777" w:rsidR="001C2E41" w:rsidRDefault="00000000">
            <w:pPr>
              <w:keepNext/>
              <w:keepLines/>
              <w:spacing w:after="0" w:line="240" w:lineRule="auto"/>
            </w:pPr>
            <w:r>
              <w:rPr>
                <w:sz w:val="18"/>
              </w:rPr>
              <w:t>54</w:t>
            </w:r>
          </w:p>
        </w:tc>
        <w:tc>
          <w:tcPr>
            <w:tcW w:w="1860" w:type="dxa"/>
            <w:tcMar>
              <w:top w:w="0" w:type="dxa"/>
              <w:bottom w:w="0" w:type="dxa"/>
            </w:tcMar>
            <w:vAlign w:val="center"/>
          </w:tcPr>
          <w:p w14:paraId="306AC932" w14:textId="77777777" w:rsidR="001C2E41" w:rsidRDefault="00000000">
            <w:pPr>
              <w:keepNext/>
              <w:keepLines/>
              <w:spacing w:after="0" w:line="240" w:lineRule="auto"/>
              <w:jc w:val="right"/>
            </w:pPr>
            <w:r>
              <w:rPr>
                <w:sz w:val="18"/>
              </w:rPr>
              <w:t>101.755.959,73</w:t>
            </w:r>
          </w:p>
        </w:tc>
        <w:tc>
          <w:tcPr>
            <w:tcW w:w="1860" w:type="dxa"/>
            <w:tcMar>
              <w:top w:w="0" w:type="dxa"/>
              <w:bottom w:w="0" w:type="dxa"/>
            </w:tcMar>
            <w:vAlign w:val="center"/>
          </w:tcPr>
          <w:p w14:paraId="0BB54362" w14:textId="77777777" w:rsidR="001C2E41" w:rsidRDefault="00000000">
            <w:pPr>
              <w:keepNext/>
              <w:keepLines/>
              <w:spacing w:after="0" w:line="240" w:lineRule="auto"/>
              <w:jc w:val="right"/>
            </w:pPr>
            <w:r>
              <w:rPr>
                <w:sz w:val="18"/>
              </w:rPr>
              <w:t>48.425.734,31</w:t>
            </w:r>
          </w:p>
        </w:tc>
        <w:tc>
          <w:tcPr>
            <w:tcW w:w="700" w:type="dxa"/>
            <w:tcMar>
              <w:top w:w="0" w:type="dxa"/>
              <w:bottom w:w="0" w:type="dxa"/>
            </w:tcMar>
            <w:vAlign w:val="center"/>
          </w:tcPr>
          <w:p w14:paraId="43E6AD44" w14:textId="77777777" w:rsidR="001C2E41" w:rsidRDefault="00000000">
            <w:pPr>
              <w:keepNext/>
              <w:keepLines/>
              <w:spacing w:after="0" w:line="240" w:lineRule="auto"/>
              <w:jc w:val="right"/>
            </w:pPr>
            <w:r>
              <w:rPr>
                <w:sz w:val="18"/>
              </w:rPr>
              <w:t>47,6</w:t>
            </w:r>
          </w:p>
        </w:tc>
      </w:tr>
    </w:tbl>
    <w:p w14:paraId="0D40AF47" w14:textId="77777777" w:rsidR="001C2E41" w:rsidRDefault="001C2E41">
      <w:pPr>
        <w:spacing w:after="0"/>
      </w:pPr>
    </w:p>
    <w:p w14:paraId="0590EB52" w14:textId="660B9688" w:rsidR="001C2E41" w:rsidRDefault="00000000">
      <w:r>
        <w:t xml:space="preserve">Izdaci za </w:t>
      </w:r>
      <w:r w:rsidR="008E4118">
        <w:t>otplatu glavnice</w:t>
      </w:r>
      <w:r>
        <w:t xml:space="preserve"> primljenih kredita u 2025. godini su se smanjili u odnosu na prethodno razdoblje Odlukom Vlade o davanju suglasnosti za preuzimanje kreditnih obveza društva HŽI. Preuzete su kreditne obveze: glavnica, kamata i naknada.</w:t>
      </w:r>
    </w:p>
    <w:p w14:paraId="23A068EE" w14:textId="77777777" w:rsidR="001C2E41" w:rsidRDefault="001C2E41"/>
    <w:p w14:paraId="5BE63884" w14:textId="77777777" w:rsidR="001C2E41" w:rsidRDefault="00000000">
      <w:pPr>
        <w:keepNext/>
        <w:spacing w:line="240" w:lineRule="auto"/>
        <w:jc w:val="center"/>
      </w:pPr>
      <w:r>
        <w:rPr>
          <w:b/>
          <w:sz w:val="28"/>
        </w:rPr>
        <w:t>Bilanca</w:t>
      </w:r>
    </w:p>
    <w:p w14:paraId="2A1319CA" w14:textId="77777777" w:rsidR="001C2E41"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4439BE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D11B32"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0D2B93"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4D7B25"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7A24FD" w14:textId="77777777" w:rsidR="001C2E4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E9E2FD" w14:textId="77777777" w:rsidR="001C2E4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B5DF07" w14:textId="77777777" w:rsidR="001C2E41" w:rsidRDefault="00000000">
            <w:pPr>
              <w:keepNext/>
              <w:keepLines/>
              <w:spacing w:after="0" w:line="240" w:lineRule="auto"/>
              <w:jc w:val="center"/>
            </w:pPr>
            <w:r>
              <w:rPr>
                <w:b/>
                <w:sz w:val="18"/>
              </w:rPr>
              <w:t>Indeks (%)</w:t>
            </w:r>
          </w:p>
        </w:tc>
      </w:tr>
      <w:tr w:rsidR="001C2E41" w14:paraId="5811541B" w14:textId="77777777">
        <w:tblPrEx>
          <w:tblCellMar>
            <w:top w:w="0" w:type="dxa"/>
            <w:bottom w:w="0" w:type="dxa"/>
          </w:tblCellMar>
        </w:tblPrEx>
        <w:trPr>
          <w:cantSplit/>
          <w:trHeight w:val="560"/>
        </w:trPr>
        <w:tc>
          <w:tcPr>
            <w:tcW w:w="700" w:type="dxa"/>
            <w:tcMar>
              <w:top w:w="0" w:type="dxa"/>
              <w:bottom w:w="0" w:type="dxa"/>
            </w:tcMar>
            <w:vAlign w:val="center"/>
          </w:tcPr>
          <w:p w14:paraId="764370C3" w14:textId="77777777" w:rsidR="001C2E41" w:rsidRDefault="00000000">
            <w:pPr>
              <w:keepNext/>
              <w:keepLines/>
              <w:spacing w:after="0" w:line="240" w:lineRule="auto"/>
            </w:pPr>
            <w:r>
              <w:rPr>
                <w:sz w:val="18"/>
              </w:rPr>
              <w:t>1541</w:t>
            </w:r>
          </w:p>
        </w:tc>
        <w:tc>
          <w:tcPr>
            <w:tcW w:w="3180" w:type="dxa"/>
            <w:tcMar>
              <w:top w:w="0" w:type="dxa"/>
              <w:bottom w:w="0" w:type="dxa"/>
            </w:tcMar>
            <w:vAlign w:val="center"/>
          </w:tcPr>
          <w:p w14:paraId="1449E3CD" w14:textId="77777777" w:rsidR="001C2E41" w:rsidRDefault="00000000">
            <w:pPr>
              <w:keepNext/>
              <w:keepLines/>
              <w:spacing w:after="0" w:line="240" w:lineRule="auto"/>
            </w:pPr>
            <w:r>
              <w:rPr>
                <w:sz w:val="18"/>
              </w:rPr>
              <w:t>Dionice i udjeli u glavnici tuzemnih trgovačkih društava izvan javnog sektora</w:t>
            </w:r>
          </w:p>
        </w:tc>
        <w:tc>
          <w:tcPr>
            <w:tcW w:w="700" w:type="dxa"/>
            <w:tcMar>
              <w:top w:w="0" w:type="dxa"/>
              <w:bottom w:w="0" w:type="dxa"/>
            </w:tcMar>
            <w:vAlign w:val="center"/>
          </w:tcPr>
          <w:p w14:paraId="71B4E5CB" w14:textId="77777777" w:rsidR="001C2E41" w:rsidRDefault="00000000">
            <w:pPr>
              <w:keepNext/>
              <w:keepLines/>
              <w:spacing w:after="0" w:line="240" w:lineRule="auto"/>
            </w:pPr>
            <w:r>
              <w:rPr>
                <w:sz w:val="18"/>
              </w:rPr>
              <w:t>1541</w:t>
            </w:r>
          </w:p>
        </w:tc>
        <w:tc>
          <w:tcPr>
            <w:tcW w:w="1860" w:type="dxa"/>
            <w:tcMar>
              <w:top w:w="0" w:type="dxa"/>
              <w:bottom w:w="0" w:type="dxa"/>
            </w:tcMar>
            <w:vAlign w:val="center"/>
          </w:tcPr>
          <w:p w14:paraId="43E09109" w14:textId="77777777" w:rsidR="001C2E41" w:rsidRDefault="00000000">
            <w:pPr>
              <w:keepNext/>
              <w:keepLines/>
              <w:spacing w:after="0" w:line="240" w:lineRule="auto"/>
              <w:jc w:val="right"/>
            </w:pPr>
            <w:r>
              <w:rPr>
                <w:sz w:val="18"/>
              </w:rPr>
              <w:t>8.054.143,37</w:t>
            </w:r>
          </w:p>
        </w:tc>
        <w:tc>
          <w:tcPr>
            <w:tcW w:w="1860" w:type="dxa"/>
            <w:tcMar>
              <w:top w:w="0" w:type="dxa"/>
              <w:bottom w:w="0" w:type="dxa"/>
            </w:tcMar>
            <w:vAlign w:val="center"/>
          </w:tcPr>
          <w:p w14:paraId="1928DC84" w14:textId="77777777" w:rsidR="001C2E41" w:rsidRDefault="00000000">
            <w:pPr>
              <w:keepNext/>
              <w:keepLines/>
              <w:spacing w:after="0" w:line="240" w:lineRule="auto"/>
              <w:jc w:val="right"/>
            </w:pPr>
            <w:r>
              <w:rPr>
                <w:sz w:val="18"/>
              </w:rPr>
              <w:t>25.297.641,75</w:t>
            </w:r>
          </w:p>
        </w:tc>
        <w:tc>
          <w:tcPr>
            <w:tcW w:w="700" w:type="dxa"/>
            <w:tcMar>
              <w:top w:w="0" w:type="dxa"/>
              <w:bottom w:w="0" w:type="dxa"/>
            </w:tcMar>
            <w:vAlign w:val="center"/>
          </w:tcPr>
          <w:p w14:paraId="4FA06A0D" w14:textId="77777777" w:rsidR="001C2E41" w:rsidRDefault="00000000">
            <w:pPr>
              <w:keepNext/>
              <w:keepLines/>
              <w:spacing w:after="0" w:line="240" w:lineRule="auto"/>
              <w:jc w:val="right"/>
            </w:pPr>
            <w:r>
              <w:rPr>
                <w:sz w:val="18"/>
              </w:rPr>
              <w:t>314,1</w:t>
            </w:r>
          </w:p>
        </w:tc>
      </w:tr>
    </w:tbl>
    <w:p w14:paraId="2BD4726A" w14:textId="77777777" w:rsidR="001C2E41" w:rsidRDefault="001C2E41">
      <w:pPr>
        <w:spacing w:after="0"/>
      </w:pPr>
    </w:p>
    <w:p w14:paraId="103627D9" w14:textId="77777777" w:rsidR="001C2E41" w:rsidRDefault="00000000">
      <w:r>
        <w:t>17.243.498,38 EUR odnosi se na dokapitalizaciju ovisnog društva Pružne građevine d.o.o.</w:t>
      </w:r>
    </w:p>
    <w:p w14:paraId="08A3736C" w14:textId="77777777" w:rsidR="001C2E41" w:rsidRDefault="001C2E41"/>
    <w:p w14:paraId="018FA392" w14:textId="77777777" w:rsidR="001C2E41"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C2E41" w14:paraId="3B07FF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82C764"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283FBC"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221724"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DEA60E" w14:textId="77777777" w:rsidR="001C2E4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95492A" w14:textId="77777777" w:rsidR="001C2E4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24C78B" w14:textId="77777777" w:rsidR="001C2E41" w:rsidRDefault="00000000">
            <w:pPr>
              <w:keepNext/>
              <w:keepLines/>
              <w:spacing w:after="0" w:line="240" w:lineRule="auto"/>
              <w:jc w:val="center"/>
            </w:pPr>
            <w:r>
              <w:rPr>
                <w:b/>
                <w:sz w:val="18"/>
              </w:rPr>
              <w:t>Indeks (%)</w:t>
            </w:r>
          </w:p>
        </w:tc>
      </w:tr>
      <w:tr w:rsidR="001C2E41" w14:paraId="65EC9CB1" w14:textId="77777777">
        <w:tblPrEx>
          <w:tblCellMar>
            <w:top w:w="0" w:type="dxa"/>
            <w:bottom w:w="0" w:type="dxa"/>
          </w:tblCellMar>
        </w:tblPrEx>
        <w:trPr>
          <w:cantSplit/>
          <w:trHeight w:val="560"/>
        </w:trPr>
        <w:tc>
          <w:tcPr>
            <w:tcW w:w="700" w:type="dxa"/>
            <w:tcMar>
              <w:top w:w="0" w:type="dxa"/>
              <w:bottom w:w="0" w:type="dxa"/>
            </w:tcMar>
            <w:vAlign w:val="center"/>
          </w:tcPr>
          <w:p w14:paraId="3CF21E89" w14:textId="77777777" w:rsidR="001C2E41" w:rsidRDefault="00000000">
            <w:pPr>
              <w:keepNext/>
              <w:keepLines/>
              <w:spacing w:after="0" w:line="240" w:lineRule="auto"/>
            </w:pPr>
            <w:r>
              <w:rPr>
                <w:sz w:val="18"/>
              </w:rPr>
              <w:t>26453</w:t>
            </w:r>
          </w:p>
        </w:tc>
        <w:tc>
          <w:tcPr>
            <w:tcW w:w="3180" w:type="dxa"/>
            <w:tcMar>
              <w:top w:w="0" w:type="dxa"/>
              <w:bottom w:w="0" w:type="dxa"/>
            </w:tcMar>
            <w:vAlign w:val="center"/>
          </w:tcPr>
          <w:p w14:paraId="2F8A35C7" w14:textId="77777777" w:rsidR="001C2E41" w:rsidRDefault="00000000">
            <w:pPr>
              <w:keepNext/>
              <w:keepLines/>
              <w:spacing w:after="0" w:line="240" w:lineRule="auto"/>
            </w:pPr>
            <w:r>
              <w:rPr>
                <w:sz w:val="18"/>
              </w:rPr>
              <w:t>Obveze za financijski najam od ostalih tuzemnih financijskih institucija izvan javnog sektora</w:t>
            </w:r>
          </w:p>
        </w:tc>
        <w:tc>
          <w:tcPr>
            <w:tcW w:w="700" w:type="dxa"/>
            <w:tcMar>
              <w:top w:w="0" w:type="dxa"/>
              <w:bottom w:w="0" w:type="dxa"/>
            </w:tcMar>
            <w:vAlign w:val="center"/>
          </w:tcPr>
          <w:p w14:paraId="643DDC1F" w14:textId="77777777" w:rsidR="001C2E41" w:rsidRDefault="00000000">
            <w:pPr>
              <w:keepNext/>
              <w:keepLines/>
              <w:spacing w:after="0" w:line="240" w:lineRule="auto"/>
            </w:pPr>
            <w:r>
              <w:rPr>
                <w:sz w:val="18"/>
              </w:rPr>
              <w:t>26453</w:t>
            </w:r>
          </w:p>
        </w:tc>
        <w:tc>
          <w:tcPr>
            <w:tcW w:w="1860" w:type="dxa"/>
            <w:tcMar>
              <w:top w:w="0" w:type="dxa"/>
              <w:bottom w:w="0" w:type="dxa"/>
            </w:tcMar>
            <w:vAlign w:val="center"/>
          </w:tcPr>
          <w:p w14:paraId="34328062" w14:textId="77777777" w:rsidR="001C2E41" w:rsidRDefault="00000000">
            <w:pPr>
              <w:keepNext/>
              <w:keepLines/>
              <w:spacing w:after="0" w:line="240" w:lineRule="auto"/>
              <w:jc w:val="right"/>
            </w:pPr>
            <w:r>
              <w:rPr>
                <w:sz w:val="18"/>
              </w:rPr>
              <w:t>2.767.642,96</w:t>
            </w:r>
          </w:p>
        </w:tc>
        <w:tc>
          <w:tcPr>
            <w:tcW w:w="1860" w:type="dxa"/>
            <w:tcMar>
              <w:top w:w="0" w:type="dxa"/>
              <w:bottom w:w="0" w:type="dxa"/>
            </w:tcMar>
            <w:vAlign w:val="center"/>
          </w:tcPr>
          <w:p w14:paraId="1073F164" w14:textId="77777777" w:rsidR="001C2E41" w:rsidRDefault="00000000">
            <w:pPr>
              <w:keepNext/>
              <w:keepLines/>
              <w:spacing w:after="0" w:line="240" w:lineRule="auto"/>
              <w:jc w:val="right"/>
            </w:pPr>
            <w:r>
              <w:rPr>
                <w:sz w:val="18"/>
              </w:rPr>
              <w:t>5.354.207,79</w:t>
            </w:r>
          </w:p>
        </w:tc>
        <w:tc>
          <w:tcPr>
            <w:tcW w:w="700" w:type="dxa"/>
            <w:tcMar>
              <w:top w:w="0" w:type="dxa"/>
              <w:bottom w:w="0" w:type="dxa"/>
            </w:tcMar>
            <w:vAlign w:val="center"/>
          </w:tcPr>
          <w:p w14:paraId="4B004F3C" w14:textId="77777777" w:rsidR="001C2E41" w:rsidRDefault="00000000">
            <w:pPr>
              <w:keepNext/>
              <w:keepLines/>
              <w:spacing w:after="0" w:line="240" w:lineRule="auto"/>
              <w:jc w:val="right"/>
            </w:pPr>
            <w:r>
              <w:rPr>
                <w:sz w:val="18"/>
              </w:rPr>
              <w:t>193,5</w:t>
            </w:r>
          </w:p>
        </w:tc>
      </w:tr>
    </w:tbl>
    <w:p w14:paraId="414421B8" w14:textId="77777777" w:rsidR="001C2E41" w:rsidRDefault="001C2E41">
      <w:pPr>
        <w:spacing w:after="0"/>
      </w:pPr>
    </w:p>
    <w:p w14:paraId="6DCE6D80" w14:textId="77777777" w:rsidR="001C2E41" w:rsidRDefault="00000000">
      <w:r>
        <w:t>U 2025. godini putem financijskog leasinga nabavljena su nova vozila za vozni park HŽI.</w:t>
      </w:r>
    </w:p>
    <w:p w14:paraId="234BC9A7" w14:textId="77777777" w:rsidR="001C2E41" w:rsidRDefault="001C2E41"/>
    <w:p w14:paraId="2D83D2C7" w14:textId="77777777" w:rsidR="001C2E41" w:rsidRDefault="00000000">
      <w:pPr>
        <w:keepNext/>
        <w:spacing w:line="240" w:lineRule="auto"/>
        <w:jc w:val="center"/>
      </w:pPr>
      <w:r>
        <w:rPr>
          <w:b/>
          <w:sz w:val="28"/>
        </w:rPr>
        <w:t>Izvještaj o obvezama</w:t>
      </w:r>
    </w:p>
    <w:p w14:paraId="3539DE3B" w14:textId="77777777" w:rsidR="001C2E41"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C2E41" w14:paraId="0F4657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0F5148" w14:textId="77777777" w:rsidR="001C2E41"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ADF472" w14:textId="77777777" w:rsidR="001C2E4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87A996" w14:textId="77777777" w:rsidR="001C2E4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818FBF" w14:textId="77777777" w:rsidR="001C2E4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A746B54" w14:textId="77777777" w:rsidR="001C2E41" w:rsidRDefault="00000000">
            <w:pPr>
              <w:keepNext/>
              <w:keepLines/>
              <w:spacing w:after="0" w:line="240" w:lineRule="auto"/>
              <w:jc w:val="center"/>
            </w:pPr>
            <w:r>
              <w:rPr>
                <w:b/>
                <w:sz w:val="18"/>
              </w:rPr>
              <w:t>Indeks (%)</w:t>
            </w:r>
          </w:p>
        </w:tc>
      </w:tr>
      <w:tr w:rsidR="001C2E41" w14:paraId="7F094880" w14:textId="77777777">
        <w:tblPrEx>
          <w:tblCellMar>
            <w:top w:w="0" w:type="dxa"/>
            <w:bottom w:w="0" w:type="dxa"/>
          </w:tblCellMar>
        </w:tblPrEx>
        <w:trPr>
          <w:cantSplit/>
          <w:trHeight w:val="560"/>
        </w:trPr>
        <w:tc>
          <w:tcPr>
            <w:tcW w:w="700" w:type="dxa"/>
            <w:tcMar>
              <w:top w:w="0" w:type="dxa"/>
              <w:bottom w:w="0" w:type="dxa"/>
            </w:tcMar>
            <w:vAlign w:val="center"/>
          </w:tcPr>
          <w:p w14:paraId="188FDA06" w14:textId="77777777" w:rsidR="001C2E41" w:rsidRDefault="001C2E41">
            <w:pPr>
              <w:keepNext/>
              <w:keepLines/>
              <w:spacing w:after="0" w:line="240" w:lineRule="auto"/>
            </w:pPr>
          </w:p>
        </w:tc>
        <w:tc>
          <w:tcPr>
            <w:tcW w:w="3180" w:type="dxa"/>
            <w:tcMar>
              <w:top w:w="0" w:type="dxa"/>
              <w:bottom w:w="0" w:type="dxa"/>
            </w:tcMar>
            <w:vAlign w:val="center"/>
          </w:tcPr>
          <w:p w14:paraId="61ABE2BB" w14:textId="77777777" w:rsidR="001C2E41"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A2615E0" w14:textId="77777777" w:rsidR="001C2E41" w:rsidRDefault="00000000">
            <w:pPr>
              <w:keepNext/>
              <w:keepLines/>
              <w:spacing w:after="0" w:line="240" w:lineRule="auto"/>
            </w:pPr>
            <w:r>
              <w:rPr>
                <w:sz w:val="18"/>
              </w:rPr>
              <w:t>V007</w:t>
            </w:r>
          </w:p>
        </w:tc>
        <w:tc>
          <w:tcPr>
            <w:tcW w:w="1860" w:type="dxa"/>
            <w:tcMar>
              <w:top w:w="0" w:type="dxa"/>
              <w:bottom w:w="0" w:type="dxa"/>
            </w:tcMar>
            <w:vAlign w:val="center"/>
          </w:tcPr>
          <w:p w14:paraId="4221E21B" w14:textId="77777777" w:rsidR="001C2E41" w:rsidRDefault="00000000">
            <w:pPr>
              <w:keepNext/>
              <w:keepLines/>
              <w:spacing w:after="0" w:line="240" w:lineRule="auto"/>
              <w:jc w:val="right"/>
            </w:pPr>
            <w:r>
              <w:rPr>
                <w:sz w:val="18"/>
              </w:rPr>
              <w:t>26.241.115,60</w:t>
            </w:r>
          </w:p>
        </w:tc>
        <w:tc>
          <w:tcPr>
            <w:tcW w:w="700" w:type="dxa"/>
            <w:tcMar>
              <w:top w:w="0" w:type="dxa"/>
              <w:bottom w:w="0" w:type="dxa"/>
            </w:tcMar>
            <w:vAlign w:val="center"/>
          </w:tcPr>
          <w:p w14:paraId="28EBF456" w14:textId="77777777" w:rsidR="001C2E41" w:rsidRDefault="00000000">
            <w:pPr>
              <w:keepNext/>
              <w:keepLines/>
              <w:spacing w:after="0" w:line="240" w:lineRule="auto"/>
              <w:jc w:val="right"/>
            </w:pPr>
            <w:r>
              <w:rPr>
                <w:sz w:val="18"/>
              </w:rPr>
              <w:t>-</w:t>
            </w:r>
          </w:p>
        </w:tc>
      </w:tr>
    </w:tbl>
    <w:p w14:paraId="222F5EB9" w14:textId="77777777" w:rsidR="001C2E41" w:rsidRDefault="001C2E41">
      <w:pPr>
        <w:spacing w:after="0"/>
      </w:pPr>
    </w:p>
    <w:p w14:paraId="0E519B61" w14:textId="77777777" w:rsidR="001C2E41" w:rsidRDefault="00000000">
      <w:r>
        <w:t>Stanje dospjelih obveza na kraju izvještajnog razdoblja (01.01.-31.12.2025.) iznosi 26.241.115,60 EUR.</w:t>
      </w:r>
    </w:p>
    <w:p w14:paraId="6BC2863E" w14:textId="77777777" w:rsidR="001C2E41" w:rsidRDefault="00000000">
      <w:r>
        <w:lastRenderedPageBreak/>
        <w:t>Rezultat dospjelih obveza je posljedica odnosno nesrazmjer između ostvarenja prihoda u odnosu na dospjele obveze, a navedene dospjele obveze biti će podmirene u naredno vrijeme.</w:t>
      </w:r>
    </w:p>
    <w:p w14:paraId="20A4E698" w14:textId="77777777" w:rsidR="001C2E41" w:rsidRDefault="001C2E41"/>
    <w:p w14:paraId="712F289C" w14:textId="77777777" w:rsidR="001C2E41" w:rsidRDefault="00000000">
      <w:pPr>
        <w:keepNext/>
        <w:spacing w:line="240" w:lineRule="auto"/>
        <w:jc w:val="center"/>
      </w:pPr>
      <w:r>
        <w:rPr>
          <w:sz w:val="28"/>
        </w:rPr>
        <w:t>Bilješka 24.</w:t>
      </w:r>
    </w:p>
    <w:p w14:paraId="3935EF3E" w14:textId="77777777" w:rsidR="001C2E41" w:rsidRDefault="00000000">
      <w:pPr>
        <w:spacing w:line="240" w:lineRule="auto"/>
        <w:jc w:val="both"/>
      </w:pPr>
      <w:r>
        <w:rPr>
          <w:b/>
        </w:rPr>
        <w:t>EU izvještaj</w:t>
      </w:r>
    </w:p>
    <w:p w14:paraId="6528000D" w14:textId="77777777" w:rsidR="001C2E41" w:rsidRDefault="00000000">
      <w:r>
        <w:t>Program 510 – programi Unije</w:t>
      </w:r>
    </w:p>
    <w:p w14:paraId="4A96ED74" w14:textId="77777777" w:rsidR="001C2E41" w:rsidRDefault="00000000">
      <w:r>
        <w:t>U razdoblju od 01.01. do 31.12.2025. godine prihodi kapitalnih pomoći od institucija i tijela EU iznose 112.098,32 EUR kao potpora u provedbi CEF projekata željezničkog sektora. U istom razdoblju rashodi za nabavu proizvedene dugotrajne imovine iznose 3.456.001,76 EUR, a najvećim dijelom se odnose na rashode za izgradnju i modernizaciju željeznice.</w:t>
      </w:r>
    </w:p>
    <w:p w14:paraId="1B206936" w14:textId="77777777" w:rsidR="001C2E41" w:rsidRDefault="00000000">
      <w:r>
        <w:t>562 - Kohezijski fond</w:t>
      </w:r>
    </w:p>
    <w:p w14:paraId="45710FF0" w14:textId="77777777" w:rsidR="001C2E41" w:rsidRDefault="00000000">
      <w:r>
        <w:t>U razdoblju od 01.01. do 31.12.2025. godine prihodi od kapitalnih pomoći iz državnog proračuna temeljem prijenosa EU sredstava iznose 10.353.527,61 EUR - Program Konkurentnost i kohezija 2021.-2027. U istom razdoblju rashodi za nabavu proizvedene dugotrajne imovine iznose 4.927.601,89 EUR, te se isti odnose na rashode za izgradnju i modernizaciju željeznice.</w:t>
      </w:r>
    </w:p>
    <w:p w14:paraId="1D7D436E" w14:textId="77777777" w:rsidR="001C2E41" w:rsidRDefault="00000000">
      <w:r>
        <w:t>563 – Europski fond za regionalni razvoj</w:t>
      </w:r>
    </w:p>
    <w:p w14:paraId="6990933F" w14:textId="77777777" w:rsidR="001C2E41" w:rsidRDefault="00000000">
      <w:r>
        <w:t>U razdoblju od 01.01. do 31.12.2025. godine prihodi od kapitalnih pomoći iz državnog proračuna temeljem prijenosa EU sredstava iznose 2.141.608,51 EUR - Program Konkurentnost i kohezija 2021.-2027. U istom razdoblju rashodi za nabavu proizvedene dugotrajne imovine iznose 3.204.240,57 EUR, te se isti odnose na rashode za modernizaciju prometno-upravljačkog i signalno-sigurnosnog infrastrukturnog podsustava. Obveza po primljenom predujmu iznosi 1.493.461,32 EUR.</w:t>
      </w:r>
    </w:p>
    <w:p w14:paraId="6A6DD23E" w14:textId="77777777" w:rsidR="001C2E41" w:rsidRDefault="00000000">
      <w:r>
        <w:t>581 – Mehanizam za oporavak i otpornost</w:t>
      </w:r>
    </w:p>
    <w:p w14:paraId="1227861E" w14:textId="77777777" w:rsidR="001C2E41" w:rsidRDefault="00000000">
      <w:r>
        <w:t xml:space="preserve">U razdoblju od 01.01. do 31.12.2025. godine prihodi od kapitalnih pomoći iz državnog proračuna temeljem prijenosa EU sredstava iznose 3.792.858,60 EUR - Nacionalni plan oporavka i otpornosti. U istom razdoblju rashodi za nabavu proizvedene dugotrajne imovine iznose 5.814.010,08 EUR, te se isti odnose na rashode za izgradnju i modernizaciju </w:t>
      </w:r>
      <w:proofErr w:type="spellStart"/>
      <w:r>
        <w:t>željeznice.Obveza</w:t>
      </w:r>
      <w:proofErr w:type="spellEnd"/>
      <w:r>
        <w:t xml:space="preserve"> po primljenom predujmu iznosi 2.636.611,84 EUR.</w:t>
      </w:r>
    </w:p>
    <w:p w14:paraId="1150EE77" w14:textId="77777777" w:rsidR="001C2E41" w:rsidRDefault="00000000">
      <w:r>
        <w:t>Nacionalno sufinanciranje</w:t>
      </w:r>
    </w:p>
    <w:p w14:paraId="68D8FC3B" w14:textId="77777777" w:rsidR="001C2E41" w:rsidRDefault="00000000">
      <w:r>
        <w:t xml:space="preserve">U razdoblju od 01.01. do 31.12.2025. godine ukupni prihodi od kapitalnih pomoći iz državnog proračuna temeljem prijenosa EU sredstava iznose 4.527.166,33 EUR, od kojeg se iznos 2.324.672,33  EUR odnosi na potporu u provedbi CEF projekata željezničkog sektora i iznos 2.202.494,00 EUR na Program Konkurentnost i kohezija 2021.-2027. U istom razdoblju rashodi za nabavu proizvedene dugotrajne imovine iznose 2.025.689,65 EUR, u najvećim dijelom odnosi se na rashode za izgradnju i modernizaciju željeznice  u iznosu od 1.424.074,58 EUR, zatim iznos 565.454,22 EUR odnosi se na rashode za modernizaciju </w:t>
      </w:r>
      <w:r>
        <w:lastRenderedPageBreak/>
        <w:t>prometno-upravljačkog i signalno-sigurnosnog infrastrukturnog podsustava i iznos od 36.160,85 EUR na ostale rashode. Obveza po primljenom predujmu iznosi 263.551,99 EUR.</w:t>
      </w:r>
    </w:p>
    <w:p w14:paraId="67515BB1" w14:textId="77777777" w:rsidR="001C2E41" w:rsidRDefault="00000000">
      <w:r>
        <w:t>Obveznici financijskog izvještavanja u EU izvještaju popunjavaju izvještajno razdoblje od 01. siječnja do 31. prosinca 2025. godine. S obzirom na prethodno navedeno u Bilješku se ne mogu prikazati razlozi značajnijih promjena u stanju u odnosu na prethodno razdoblje.</w:t>
      </w:r>
    </w:p>
    <w:p w14:paraId="37378399" w14:textId="77777777" w:rsidR="001C2E41" w:rsidRDefault="001C2E41"/>
    <w:sectPr w:rsidR="001C2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C2E41"/>
    <w:rsid w:val="001C2E41"/>
    <w:rsid w:val="00511D52"/>
    <w:rsid w:val="005941B7"/>
    <w:rsid w:val="008E41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32D2"/>
  <w15:docId w15:val="{668605B0-087A-4141-9D3A-AAF11486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2598</Words>
  <Characters>14809</Characters>
  <Application>Microsoft Office Word</Application>
  <DocSecurity>0</DocSecurity>
  <Lines>123</Lines>
  <Paragraphs>34</Paragraphs>
  <ScaleCrop>false</ScaleCrop>
  <Company>HZ Infrastruktura d.o.o.</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Josipa Panenić</cp:lastModifiedBy>
  <cp:revision>3</cp:revision>
  <dcterms:created xsi:type="dcterms:W3CDTF">2026-03-03T13:13:00Z</dcterms:created>
  <dcterms:modified xsi:type="dcterms:W3CDTF">2026-03-03T13:13:00Z</dcterms:modified>
</cp:coreProperties>
</file>