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00EB" w14:textId="77777777" w:rsidR="007C427E" w:rsidRDefault="00DC4F7D">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t>OBRAZLOŽENJE IZMJENA I DOPUNA FINANCIJSKOG PLANA HŽ INFRASTRUKTURE ZA  2025. GODINU I PROJEKCIJA PLANA ZA 2026. I 2027. GODINU</w:t>
      </w:r>
      <w:r>
        <w:rPr>
          <w:rFonts w:ascii="Calibri" w:hAnsi="Calibri" w:cs="Calibri"/>
          <w:b/>
          <w:sz w:val="28"/>
        </w:rPr>
        <w:br w:type="page"/>
      </w:r>
    </w:p>
    <w:p w14:paraId="2979ECCC" w14:textId="77777777" w:rsidR="007C427E" w:rsidRDefault="00DC4F7D">
      <w:pPr>
        <w:spacing w:line="240" w:lineRule="auto"/>
      </w:pPr>
      <w:r>
        <w:rPr>
          <w:rFonts w:ascii="Calibri" w:hAnsi="Calibri" w:cs="Calibri"/>
          <w:b/>
          <w:sz w:val="22"/>
          <w:u w:val="single"/>
        </w:rPr>
        <w:lastRenderedPageBreak/>
        <w:br/>
        <w:t>UVOD</w:t>
      </w:r>
    </w:p>
    <w:p w14:paraId="457E1524" w14:textId="77777777" w:rsidR="007C427E" w:rsidRDefault="00DC4F7D">
      <w:pPr>
        <w:spacing w:line="240" w:lineRule="auto"/>
        <w:jc w:val="both"/>
      </w:pPr>
      <w:r>
        <w:rPr>
          <w:rFonts w:ascii="Calibri" w:hAnsi="Calibri" w:cs="Calibri"/>
          <w:sz w:val="22"/>
        </w:rPr>
        <w:t xml:space="preserve">HŽ Infrastruktura je strateško društvo u vlasništvu Republike Hrvatske koje upravlja željezničkom infrastrukturom u Republici Hrvatskoj. </w:t>
      </w:r>
    </w:p>
    <w:p w14:paraId="10FDE76A" w14:textId="77777777" w:rsidR="007C427E" w:rsidRDefault="00DC4F7D">
      <w:pPr>
        <w:spacing w:line="240" w:lineRule="auto"/>
        <w:jc w:val="both"/>
      </w:pPr>
      <w:r>
        <w:rPr>
          <w:rFonts w:ascii="Calibri" w:hAnsi="Calibri" w:cs="Calibri"/>
          <w:sz w:val="22"/>
        </w:rPr>
        <w:t>Hrvatski sabor je na sjednici održanoj dana 06. prosinca 2024. godine donio Odluku o davanju suglasnosti na Financijski plan HŽ Infrastrukture za 2025. godinu i projekcije plana za 2026. i 2027. godinu (NN 149/2024) koji je izrađen na temelju procjene realizacije vlastitih prihoda od pružanja željezničkih usluga i ostalih prihoda, te sukladno odobrenim limitima kapitalnih i tekućih pomoći unutar općeg proračuna i temeljem prijenosa EU sredstava iz Državnog proračuna s razdjela Ministarstva mora, prometa i i</w:t>
      </w:r>
      <w:r>
        <w:rPr>
          <w:rFonts w:ascii="Calibri" w:hAnsi="Calibri" w:cs="Calibri"/>
          <w:sz w:val="22"/>
        </w:rPr>
        <w:t>nfrastrukture, kao i zaduživanja za investicijske projekte.</w:t>
      </w:r>
    </w:p>
    <w:p w14:paraId="77A37F1B" w14:textId="77777777" w:rsidR="007C427E" w:rsidRDefault="00DC4F7D">
      <w:pPr>
        <w:spacing w:line="240" w:lineRule="auto"/>
        <w:jc w:val="both"/>
      </w:pPr>
      <w:r>
        <w:rPr>
          <w:rFonts w:ascii="Calibri" w:hAnsi="Calibri" w:cs="Calibri"/>
          <w:sz w:val="22"/>
        </w:rPr>
        <w:t>Temeljem promijenjenih uvjeta poslovanja, dinamike realizacije investicijskih projekata i odobrenih limita iz sredstava Državnog proračuna, HŽ Infrastruktura predlaže izmjene i dopune Financijskog plana za 2025. godinu i projekcija plana za 2026. i 2027. godinu te u nastavku daje obrazloženje izmjena i dopuna Financijskog plana za 2025. godinu.</w:t>
      </w:r>
    </w:p>
    <w:p w14:paraId="56503873" w14:textId="77777777" w:rsidR="007C427E" w:rsidRDefault="00DC4F7D">
      <w:pPr>
        <w:spacing w:line="240" w:lineRule="auto"/>
      </w:pPr>
      <w:r>
        <w:rPr>
          <w:rFonts w:ascii="Calibri" w:hAnsi="Calibri" w:cs="Calibri"/>
          <w:b/>
          <w:sz w:val="22"/>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11"/>
        <w:gridCol w:w="1604"/>
        <w:gridCol w:w="1604"/>
        <w:gridCol w:w="1604"/>
        <w:gridCol w:w="803"/>
      </w:tblGrid>
      <w:tr w:rsidR="007C427E" w14:paraId="6D05E5E7" w14:textId="77777777">
        <w:tc>
          <w:tcPr>
            <w:tcW w:w="2000" w:type="pct"/>
            <w:shd w:val="clear" w:color="auto" w:fill="BCDFFB"/>
            <w:vAlign w:val="center"/>
          </w:tcPr>
          <w:p w14:paraId="5E92878A" w14:textId="77777777" w:rsidR="007C427E" w:rsidRDefault="007C427E">
            <w:pPr>
              <w:spacing w:after="0" w:line="240" w:lineRule="auto"/>
              <w:jc w:val="center"/>
            </w:pPr>
          </w:p>
        </w:tc>
        <w:tc>
          <w:tcPr>
            <w:tcW w:w="800" w:type="pct"/>
            <w:shd w:val="clear" w:color="auto" w:fill="BCDFFB"/>
            <w:vAlign w:val="center"/>
          </w:tcPr>
          <w:p w14:paraId="3666AB53" w14:textId="77777777" w:rsidR="007C427E" w:rsidRDefault="00DC4F7D">
            <w:pPr>
              <w:spacing w:after="0" w:line="240" w:lineRule="auto"/>
              <w:jc w:val="center"/>
            </w:pPr>
            <w:r>
              <w:rPr>
                <w:rFonts w:ascii="Calibri" w:hAnsi="Calibri" w:cs="Calibri"/>
                <w:b/>
                <w:sz w:val="18"/>
              </w:rPr>
              <w:t>Plan za 2025.</w:t>
            </w:r>
          </w:p>
        </w:tc>
        <w:tc>
          <w:tcPr>
            <w:tcW w:w="800" w:type="pct"/>
            <w:shd w:val="clear" w:color="auto" w:fill="BCDFFB"/>
            <w:vAlign w:val="center"/>
          </w:tcPr>
          <w:p w14:paraId="1BC7621A" w14:textId="77777777" w:rsidR="007C427E" w:rsidRDefault="00DC4F7D">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4B0B35D8" w14:textId="77777777" w:rsidR="007C427E" w:rsidRDefault="00DC4F7D">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081D745E" w14:textId="77777777" w:rsidR="007C427E" w:rsidRDefault="00DC4F7D">
            <w:pPr>
              <w:spacing w:after="0" w:line="240" w:lineRule="auto"/>
              <w:jc w:val="center"/>
            </w:pPr>
            <w:r>
              <w:rPr>
                <w:rFonts w:ascii="Calibri" w:hAnsi="Calibri" w:cs="Calibri"/>
                <w:b/>
                <w:sz w:val="18"/>
              </w:rPr>
              <w:t>Indeks</w:t>
            </w:r>
          </w:p>
        </w:tc>
      </w:tr>
      <w:tr w:rsidR="007C427E" w14:paraId="17E0C455" w14:textId="77777777">
        <w:tc>
          <w:tcPr>
            <w:tcW w:w="2000" w:type="pct"/>
            <w:vAlign w:val="bottom"/>
          </w:tcPr>
          <w:p w14:paraId="1651D21F" w14:textId="77777777" w:rsidR="007C427E" w:rsidRDefault="00DC4F7D">
            <w:pPr>
              <w:spacing w:after="0" w:line="240" w:lineRule="auto"/>
            </w:pPr>
            <w:r>
              <w:rPr>
                <w:rFonts w:ascii="Calibri" w:hAnsi="Calibri" w:cs="Calibri"/>
                <w:sz w:val="18"/>
              </w:rPr>
              <w:t xml:space="preserve">PRIHODI </w:t>
            </w:r>
            <w:r>
              <w:rPr>
                <w:rFonts w:ascii="Calibri" w:hAnsi="Calibri" w:cs="Calibri"/>
                <w:sz w:val="18"/>
              </w:rPr>
              <w:t>POSLOVANJA</w:t>
            </w:r>
          </w:p>
        </w:tc>
        <w:tc>
          <w:tcPr>
            <w:tcW w:w="800" w:type="pct"/>
            <w:vAlign w:val="bottom"/>
          </w:tcPr>
          <w:p w14:paraId="5BF6A4D6" w14:textId="77777777" w:rsidR="007C427E" w:rsidRDefault="00DC4F7D">
            <w:pPr>
              <w:spacing w:after="0" w:line="240" w:lineRule="auto"/>
              <w:jc w:val="right"/>
            </w:pPr>
            <w:r>
              <w:rPr>
                <w:rFonts w:ascii="Calibri" w:hAnsi="Calibri" w:cs="Calibri"/>
                <w:sz w:val="18"/>
              </w:rPr>
              <w:t>489.464.400</w:t>
            </w:r>
          </w:p>
        </w:tc>
        <w:tc>
          <w:tcPr>
            <w:tcW w:w="800" w:type="pct"/>
            <w:vAlign w:val="bottom"/>
          </w:tcPr>
          <w:p w14:paraId="201E7AB7" w14:textId="77777777" w:rsidR="007C427E" w:rsidRDefault="00DC4F7D">
            <w:pPr>
              <w:spacing w:after="0" w:line="240" w:lineRule="auto"/>
              <w:jc w:val="right"/>
            </w:pPr>
            <w:r>
              <w:rPr>
                <w:rFonts w:ascii="Calibri" w:hAnsi="Calibri" w:cs="Calibri"/>
                <w:sz w:val="18"/>
              </w:rPr>
              <w:t>66.097.368</w:t>
            </w:r>
          </w:p>
        </w:tc>
        <w:tc>
          <w:tcPr>
            <w:tcW w:w="800" w:type="pct"/>
            <w:vAlign w:val="bottom"/>
          </w:tcPr>
          <w:p w14:paraId="4C567135" w14:textId="77777777" w:rsidR="007C427E" w:rsidRDefault="00DC4F7D">
            <w:pPr>
              <w:spacing w:after="0" w:line="240" w:lineRule="auto"/>
              <w:jc w:val="right"/>
            </w:pPr>
            <w:r>
              <w:rPr>
                <w:rFonts w:ascii="Calibri" w:hAnsi="Calibri" w:cs="Calibri"/>
                <w:sz w:val="18"/>
              </w:rPr>
              <w:t>555.561.768</w:t>
            </w:r>
          </w:p>
        </w:tc>
        <w:tc>
          <w:tcPr>
            <w:tcW w:w="400" w:type="pct"/>
            <w:vAlign w:val="bottom"/>
          </w:tcPr>
          <w:p w14:paraId="2B41D6F8" w14:textId="77777777" w:rsidR="007C427E" w:rsidRDefault="00DC4F7D">
            <w:pPr>
              <w:spacing w:after="0" w:line="240" w:lineRule="auto"/>
              <w:jc w:val="right"/>
            </w:pPr>
            <w:r>
              <w:rPr>
                <w:rFonts w:ascii="Calibri" w:hAnsi="Calibri" w:cs="Calibri"/>
                <w:sz w:val="18"/>
              </w:rPr>
              <w:t>113,5</w:t>
            </w:r>
          </w:p>
        </w:tc>
      </w:tr>
      <w:tr w:rsidR="007C427E" w14:paraId="361B2DAE" w14:textId="77777777">
        <w:tc>
          <w:tcPr>
            <w:tcW w:w="2000" w:type="pct"/>
            <w:vAlign w:val="bottom"/>
          </w:tcPr>
          <w:p w14:paraId="24D8BB5C" w14:textId="77777777" w:rsidR="007C427E" w:rsidRDefault="00DC4F7D">
            <w:pPr>
              <w:spacing w:after="0" w:line="240" w:lineRule="auto"/>
            </w:pPr>
            <w:r>
              <w:rPr>
                <w:rFonts w:ascii="Calibri" w:hAnsi="Calibri" w:cs="Calibri"/>
                <w:sz w:val="18"/>
              </w:rPr>
              <w:t>PRIHODI OD PRODAJE NEFINANCIJSKE IMOVINE</w:t>
            </w:r>
          </w:p>
        </w:tc>
        <w:tc>
          <w:tcPr>
            <w:tcW w:w="800" w:type="pct"/>
            <w:vAlign w:val="bottom"/>
          </w:tcPr>
          <w:p w14:paraId="29988107" w14:textId="77777777" w:rsidR="007C427E" w:rsidRDefault="00DC4F7D">
            <w:pPr>
              <w:spacing w:after="0" w:line="240" w:lineRule="auto"/>
              <w:jc w:val="right"/>
            </w:pPr>
            <w:r>
              <w:rPr>
                <w:rFonts w:ascii="Calibri" w:hAnsi="Calibri" w:cs="Calibri"/>
                <w:sz w:val="18"/>
              </w:rPr>
              <w:t>0</w:t>
            </w:r>
          </w:p>
        </w:tc>
        <w:tc>
          <w:tcPr>
            <w:tcW w:w="800" w:type="pct"/>
            <w:vAlign w:val="bottom"/>
          </w:tcPr>
          <w:p w14:paraId="5A9AC3C1" w14:textId="77777777" w:rsidR="007C427E" w:rsidRDefault="00DC4F7D">
            <w:pPr>
              <w:spacing w:after="0" w:line="240" w:lineRule="auto"/>
              <w:jc w:val="right"/>
            </w:pPr>
            <w:r>
              <w:rPr>
                <w:rFonts w:ascii="Calibri" w:hAnsi="Calibri" w:cs="Calibri"/>
                <w:sz w:val="18"/>
              </w:rPr>
              <w:t>0</w:t>
            </w:r>
          </w:p>
        </w:tc>
        <w:tc>
          <w:tcPr>
            <w:tcW w:w="800" w:type="pct"/>
            <w:vAlign w:val="bottom"/>
          </w:tcPr>
          <w:p w14:paraId="7E54B7A0" w14:textId="77777777" w:rsidR="007C427E" w:rsidRDefault="00DC4F7D">
            <w:pPr>
              <w:spacing w:after="0" w:line="240" w:lineRule="auto"/>
              <w:jc w:val="right"/>
            </w:pPr>
            <w:r>
              <w:rPr>
                <w:rFonts w:ascii="Calibri" w:hAnsi="Calibri" w:cs="Calibri"/>
                <w:sz w:val="18"/>
              </w:rPr>
              <w:t>0</w:t>
            </w:r>
          </w:p>
        </w:tc>
        <w:tc>
          <w:tcPr>
            <w:tcW w:w="400" w:type="pct"/>
            <w:vAlign w:val="bottom"/>
          </w:tcPr>
          <w:p w14:paraId="13156047" w14:textId="77777777" w:rsidR="007C427E" w:rsidRDefault="007C427E">
            <w:pPr>
              <w:spacing w:after="0" w:line="240" w:lineRule="auto"/>
              <w:jc w:val="right"/>
            </w:pPr>
          </w:p>
        </w:tc>
      </w:tr>
      <w:tr w:rsidR="007C427E" w14:paraId="39DC6A5D" w14:textId="77777777">
        <w:tc>
          <w:tcPr>
            <w:tcW w:w="2000" w:type="pct"/>
            <w:vAlign w:val="bottom"/>
          </w:tcPr>
          <w:p w14:paraId="4BB4344B" w14:textId="77777777" w:rsidR="007C427E" w:rsidRDefault="00DC4F7D">
            <w:pPr>
              <w:spacing w:after="0" w:line="240" w:lineRule="auto"/>
            </w:pPr>
            <w:r>
              <w:rPr>
                <w:rFonts w:ascii="Calibri" w:hAnsi="Calibri" w:cs="Calibri"/>
                <w:b/>
                <w:sz w:val="18"/>
              </w:rPr>
              <w:t>UKUPNI PRIHODI</w:t>
            </w:r>
          </w:p>
        </w:tc>
        <w:tc>
          <w:tcPr>
            <w:tcW w:w="800" w:type="pct"/>
            <w:vAlign w:val="bottom"/>
          </w:tcPr>
          <w:p w14:paraId="5B46F10B" w14:textId="77777777" w:rsidR="007C427E" w:rsidRDefault="00DC4F7D">
            <w:pPr>
              <w:spacing w:after="0" w:line="240" w:lineRule="auto"/>
              <w:jc w:val="right"/>
            </w:pPr>
            <w:r>
              <w:rPr>
                <w:rFonts w:ascii="Calibri" w:hAnsi="Calibri" w:cs="Calibri"/>
                <w:b/>
                <w:sz w:val="18"/>
              </w:rPr>
              <w:t>489.464.400</w:t>
            </w:r>
          </w:p>
        </w:tc>
        <w:tc>
          <w:tcPr>
            <w:tcW w:w="800" w:type="pct"/>
            <w:vAlign w:val="bottom"/>
          </w:tcPr>
          <w:p w14:paraId="4B9A1DFE" w14:textId="77777777" w:rsidR="007C427E" w:rsidRDefault="00DC4F7D">
            <w:pPr>
              <w:spacing w:after="0" w:line="240" w:lineRule="auto"/>
              <w:jc w:val="right"/>
            </w:pPr>
            <w:r>
              <w:rPr>
                <w:rFonts w:ascii="Calibri" w:hAnsi="Calibri" w:cs="Calibri"/>
                <w:b/>
                <w:sz w:val="18"/>
              </w:rPr>
              <w:t>66.097.368</w:t>
            </w:r>
          </w:p>
        </w:tc>
        <w:tc>
          <w:tcPr>
            <w:tcW w:w="800" w:type="pct"/>
            <w:vAlign w:val="bottom"/>
          </w:tcPr>
          <w:p w14:paraId="727D81CC" w14:textId="77777777" w:rsidR="007C427E" w:rsidRDefault="00DC4F7D">
            <w:pPr>
              <w:spacing w:after="0" w:line="240" w:lineRule="auto"/>
              <w:jc w:val="right"/>
            </w:pPr>
            <w:r>
              <w:rPr>
                <w:rFonts w:ascii="Calibri" w:hAnsi="Calibri" w:cs="Calibri"/>
                <w:b/>
                <w:sz w:val="18"/>
              </w:rPr>
              <w:t>555.561.768</w:t>
            </w:r>
          </w:p>
        </w:tc>
        <w:tc>
          <w:tcPr>
            <w:tcW w:w="400" w:type="pct"/>
            <w:vAlign w:val="bottom"/>
          </w:tcPr>
          <w:p w14:paraId="53E957DC" w14:textId="77777777" w:rsidR="007C427E" w:rsidRDefault="00DC4F7D">
            <w:pPr>
              <w:spacing w:after="0" w:line="240" w:lineRule="auto"/>
              <w:jc w:val="right"/>
            </w:pPr>
            <w:r>
              <w:rPr>
                <w:rFonts w:ascii="Calibri" w:hAnsi="Calibri" w:cs="Calibri"/>
                <w:b/>
                <w:sz w:val="18"/>
              </w:rPr>
              <w:t>113,5</w:t>
            </w:r>
          </w:p>
        </w:tc>
      </w:tr>
    </w:tbl>
    <w:p w14:paraId="57E94AA6" w14:textId="77777777" w:rsidR="007C427E" w:rsidRDefault="007C427E">
      <w:pPr>
        <w:spacing w:after="0" w:line="240" w:lineRule="auto"/>
      </w:pPr>
    </w:p>
    <w:p w14:paraId="2BE1AC7B" w14:textId="77777777" w:rsidR="007C427E" w:rsidRDefault="00DC4F7D">
      <w:pPr>
        <w:spacing w:line="240" w:lineRule="auto"/>
        <w:jc w:val="both"/>
      </w:pPr>
      <w:r>
        <w:rPr>
          <w:rFonts w:ascii="Calibri" w:hAnsi="Calibri" w:cs="Calibri"/>
          <w:sz w:val="22"/>
        </w:rPr>
        <w:t xml:space="preserve">Planirani ukupni prihodi poslovanja HŽ </w:t>
      </w:r>
      <w:r>
        <w:rPr>
          <w:rFonts w:ascii="Calibri" w:hAnsi="Calibri" w:cs="Calibri"/>
          <w:sz w:val="22"/>
        </w:rPr>
        <w:t xml:space="preserve">Infrastrukture u Novom planu za 2025. godinu iznose 555.561.768 EUR i povećani su za 66.097.368 EUR odnosno za 13,5% u odnosu na Plan za 2025. godinu. Povećanje ukupnih prihoda rezultat je povećanja pozicija skupine </w:t>
      </w:r>
      <w:r>
        <w:rPr>
          <w:rFonts w:ascii="Calibri" w:hAnsi="Calibri" w:cs="Calibri"/>
          <w:i/>
          <w:sz w:val="22"/>
        </w:rPr>
        <w:t xml:space="preserve">63 Pomoći iz inozemstva i od subjekata unutar općeg proračuna </w:t>
      </w:r>
      <w:r>
        <w:rPr>
          <w:rFonts w:ascii="Calibri" w:hAnsi="Calibri" w:cs="Calibri"/>
          <w:sz w:val="22"/>
        </w:rPr>
        <w:t>uz istovremeno smanjenje skupine</w:t>
      </w:r>
      <w:r>
        <w:rPr>
          <w:rFonts w:ascii="Calibri" w:hAnsi="Calibri" w:cs="Calibri"/>
          <w:i/>
          <w:sz w:val="22"/>
        </w:rPr>
        <w:t xml:space="preserve"> 65 Prihodi od upravnih i administrativnih pristojbi, pristojbi po posebnim propisima i naknada . </w:t>
      </w:r>
      <w:r>
        <w:rPr>
          <w:rFonts w:ascii="Calibri" w:hAnsi="Calibri" w:cs="Calibri"/>
          <w:sz w:val="22"/>
        </w:rPr>
        <w:t> </w:t>
      </w:r>
    </w:p>
    <w:p w14:paraId="0BA2ACEC" w14:textId="77777777" w:rsidR="007C427E" w:rsidRDefault="00DC4F7D">
      <w:pPr>
        <w:spacing w:line="240" w:lineRule="auto"/>
        <w:ind w:left="284" w:hanging="284"/>
        <w:jc w:val="both"/>
      </w:pPr>
      <w:r>
        <w:rPr>
          <w:rFonts w:ascii="Calibri" w:hAnsi="Calibri" w:cs="Calibri"/>
          <w:sz w:val="22"/>
        </w:rPr>
        <w:t xml:space="preserve">a) Povećanje pozicija skupine </w:t>
      </w:r>
      <w:r>
        <w:rPr>
          <w:rFonts w:ascii="Calibri" w:hAnsi="Calibri" w:cs="Calibri"/>
          <w:i/>
          <w:sz w:val="22"/>
        </w:rPr>
        <w:t xml:space="preserve">63 Pomoći iz inozemstva i od subjekata unutar općeg proračuna u ukupnom </w:t>
      </w:r>
      <w:r>
        <w:rPr>
          <w:rFonts w:ascii="Calibri" w:hAnsi="Calibri" w:cs="Calibri"/>
          <w:sz w:val="22"/>
        </w:rPr>
        <w:t>iznosu 91.097.368 EUR rezultat su promjena na sljedećim pozicijama:</w:t>
      </w:r>
    </w:p>
    <w:p w14:paraId="7AD0A316" w14:textId="77777777" w:rsidR="007C427E" w:rsidRDefault="00DC4F7D">
      <w:pPr>
        <w:spacing w:line="240" w:lineRule="auto"/>
        <w:ind w:left="709" w:hanging="360"/>
        <w:jc w:val="both"/>
      </w:pPr>
      <w:r>
        <w:rPr>
          <w:rFonts w:ascii="Calibri" w:hAnsi="Calibri" w:cs="Calibri"/>
          <w:sz w:val="22"/>
        </w:rPr>
        <w:t xml:space="preserve">1. Povećanja pozicije </w:t>
      </w:r>
      <w:r>
        <w:rPr>
          <w:rFonts w:ascii="Calibri" w:hAnsi="Calibri" w:cs="Calibri"/>
          <w:i/>
          <w:sz w:val="22"/>
        </w:rPr>
        <w:t xml:space="preserve">Pomoći proračunu i izvanproračunskim korisnicima iz drugih proračuna </w:t>
      </w:r>
      <w:r>
        <w:rPr>
          <w:rFonts w:ascii="Calibri" w:hAnsi="Calibri" w:cs="Calibri"/>
          <w:sz w:val="22"/>
        </w:rPr>
        <w:t>u iznosu</w:t>
      </w:r>
      <w:r>
        <w:rPr>
          <w:rFonts w:ascii="Calibri" w:hAnsi="Calibri" w:cs="Calibri"/>
          <w:i/>
          <w:sz w:val="22"/>
        </w:rPr>
        <w:t xml:space="preserve"> </w:t>
      </w:r>
      <w:r>
        <w:rPr>
          <w:rFonts w:ascii="Calibri" w:hAnsi="Calibri" w:cs="Calibri"/>
          <w:sz w:val="22"/>
        </w:rPr>
        <w:t>98.619.798 EUR i za:</w:t>
      </w:r>
    </w:p>
    <w:p w14:paraId="310D7C87" w14:textId="77777777" w:rsidR="007C427E" w:rsidRDefault="00DC4F7D">
      <w:pPr>
        <w:spacing w:line="240" w:lineRule="auto"/>
        <w:ind w:left="993" w:hanging="360"/>
        <w:jc w:val="both"/>
      </w:pPr>
      <w:r>
        <w:rPr>
          <w:rFonts w:ascii="Calibri" w:hAnsi="Calibri" w:cs="Calibri"/>
          <w:sz w:val="22"/>
        </w:rPr>
        <w:t xml:space="preserve">-     Povećanja pozicije </w:t>
      </w:r>
      <w:r>
        <w:rPr>
          <w:rFonts w:ascii="Calibri" w:hAnsi="Calibri" w:cs="Calibri"/>
          <w:i/>
          <w:sz w:val="22"/>
        </w:rPr>
        <w:t>Tekućih pomoći proračunu i izvanproračunskim korisnicima iz drugih proračuna</w:t>
      </w:r>
      <w:r>
        <w:rPr>
          <w:rFonts w:ascii="Calibri" w:hAnsi="Calibri" w:cs="Calibri"/>
          <w:sz w:val="22"/>
        </w:rPr>
        <w:t xml:space="preserve"> u iznosu 14.871.963 EUR koja se odnose na sredstva za financiranje </w:t>
      </w:r>
      <w:r>
        <w:rPr>
          <w:rFonts w:ascii="Calibri" w:hAnsi="Calibri" w:cs="Calibri"/>
          <w:i/>
          <w:sz w:val="22"/>
        </w:rPr>
        <w:t>Rashoda za zaposlene</w:t>
      </w:r>
      <w:r>
        <w:rPr>
          <w:rFonts w:ascii="Calibri" w:hAnsi="Calibri" w:cs="Calibri"/>
          <w:sz w:val="22"/>
        </w:rPr>
        <w:t xml:space="preserve"> iz prethodne godine koji su u 2024. godini bili financirani iz drugih izvora financiranja a koja je HŽ Infrastruktura dužna vratiti. </w:t>
      </w:r>
    </w:p>
    <w:p w14:paraId="6D6F127E" w14:textId="77777777" w:rsidR="007C427E" w:rsidRDefault="00DC4F7D">
      <w:pPr>
        <w:spacing w:line="240" w:lineRule="auto"/>
        <w:ind w:left="993" w:hanging="360"/>
        <w:jc w:val="both"/>
      </w:pPr>
      <w:r>
        <w:rPr>
          <w:rFonts w:ascii="Calibri" w:hAnsi="Calibri" w:cs="Calibri"/>
          <w:sz w:val="22"/>
        </w:rPr>
        <w:t xml:space="preserve">- Povećanja </w:t>
      </w:r>
      <w:r>
        <w:rPr>
          <w:rFonts w:ascii="Calibri" w:hAnsi="Calibri" w:cs="Calibri"/>
          <w:i/>
          <w:sz w:val="22"/>
        </w:rPr>
        <w:t xml:space="preserve">Kapitalnih pomoći proračunu i izvanproračunskim korisnicima iz drugih proračuna </w:t>
      </w:r>
      <w:r>
        <w:rPr>
          <w:rFonts w:ascii="Calibri" w:hAnsi="Calibri" w:cs="Calibri"/>
          <w:sz w:val="22"/>
        </w:rPr>
        <w:t xml:space="preserve">u iznosu 83.747.835 EUR koja se gotovo u cijelosti odnose na sredstva za financiranje projekata obnove, modernizacije i izgradnje željezničke infrastrukture u okviru projekta </w:t>
      </w:r>
      <w:r>
        <w:rPr>
          <w:rFonts w:ascii="Calibri" w:hAnsi="Calibri" w:cs="Calibri"/>
          <w:i/>
          <w:sz w:val="22"/>
        </w:rPr>
        <w:t>Revitalizacija željezničkog sustava Republike Hrvatske</w:t>
      </w:r>
      <w:r>
        <w:rPr>
          <w:rFonts w:ascii="Calibri" w:hAnsi="Calibri" w:cs="Calibri"/>
          <w:sz w:val="22"/>
        </w:rPr>
        <w:t xml:space="preserve"> za koji je potpisan ugovor o financiranju s Europskom investicijskom bankom. Predmetno povećanje rezultat je novo sklopljenih ugovora u 2025. godini kao i intenziviranja planiranih radova na tim projekt</w:t>
      </w:r>
      <w:r>
        <w:rPr>
          <w:rFonts w:ascii="Calibri" w:hAnsi="Calibri" w:cs="Calibri"/>
          <w:sz w:val="22"/>
        </w:rPr>
        <w:t>ima od kojih se ističu sljedeći projekti</w:t>
      </w:r>
      <w:r>
        <w:rPr>
          <w:rFonts w:ascii="Calibri" w:hAnsi="Calibri" w:cs="Calibri"/>
          <w:i/>
          <w:sz w:val="22"/>
        </w:rPr>
        <w:t xml:space="preserve">: Obnova pruge M606 Knin-Zadar, Obnova dionice Kutina- </w:t>
      </w:r>
      <w:proofErr w:type="spellStart"/>
      <w:r>
        <w:rPr>
          <w:rFonts w:ascii="Calibri" w:hAnsi="Calibri" w:cs="Calibri"/>
          <w:i/>
          <w:sz w:val="22"/>
        </w:rPr>
        <w:t>Deanovec</w:t>
      </w:r>
      <w:proofErr w:type="spellEnd"/>
      <w:r>
        <w:rPr>
          <w:rFonts w:ascii="Calibri" w:hAnsi="Calibri" w:cs="Calibri"/>
          <w:i/>
          <w:sz w:val="22"/>
        </w:rPr>
        <w:t xml:space="preserve"> (36,43 km), na pruži M103 Dugo Selo-Novska, Obnova dionice DG-Sv. Petar u Šumi (50,13 km) na pruzi R101 DG-Buzet, Obnova dionice Kloštar-Koprivnica-Varaždin (74,7 km) na pruzi R202 Varaždin -Dalj i dionice Varaždin-Čakovec (11,8 km) na pruzi R201 Zaprešić-Čakovec, Obnova dionice Banova Jaruga - Daruvar (53,4 km) na pruži L204 Banova Jaruga – </w:t>
      </w:r>
      <w:proofErr w:type="spellStart"/>
      <w:r>
        <w:rPr>
          <w:rFonts w:ascii="Calibri" w:hAnsi="Calibri" w:cs="Calibri"/>
          <w:i/>
          <w:sz w:val="22"/>
        </w:rPr>
        <w:lastRenderedPageBreak/>
        <w:t>Pčelić</w:t>
      </w:r>
      <w:proofErr w:type="spellEnd"/>
      <w:r>
        <w:rPr>
          <w:rFonts w:ascii="Calibri" w:hAnsi="Calibri" w:cs="Calibri"/>
          <w:i/>
          <w:sz w:val="22"/>
        </w:rPr>
        <w:t xml:space="preserve">, Sanacija pruge M402 Sava </w:t>
      </w:r>
      <w:proofErr w:type="spellStart"/>
      <w:r>
        <w:rPr>
          <w:rFonts w:ascii="Calibri" w:hAnsi="Calibri" w:cs="Calibri"/>
          <w:i/>
          <w:sz w:val="22"/>
        </w:rPr>
        <w:t>Rasputnica</w:t>
      </w:r>
      <w:proofErr w:type="spellEnd"/>
      <w:r>
        <w:rPr>
          <w:rFonts w:ascii="Calibri" w:hAnsi="Calibri" w:cs="Calibri"/>
          <w:i/>
          <w:sz w:val="22"/>
        </w:rPr>
        <w:t xml:space="preserve"> - Zagreb Ranžirni ko</w:t>
      </w:r>
      <w:r>
        <w:rPr>
          <w:rFonts w:ascii="Calibri" w:hAnsi="Calibri" w:cs="Calibri"/>
          <w:i/>
          <w:sz w:val="22"/>
        </w:rPr>
        <w:t xml:space="preserve">lodvor - Zagreb Klara LK i DK , Rekonstrukcija postojećeg i izgradnja drugog kolosijeka na dionici Križevci - Koprivnica - DG, pruga DG - </w:t>
      </w:r>
      <w:proofErr w:type="spellStart"/>
      <w:r>
        <w:rPr>
          <w:rFonts w:ascii="Calibri" w:hAnsi="Calibri" w:cs="Calibri"/>
          <w:i/>
          <w:sz w:val="22"/>
        </w:rPr>
        <w:t>Botovo</w:t>
      </w:r>
      <w:proofErr w:type="spellEnd"/>
      <w:r>
        <w:rPr>
          <w:rFonts w:ascii="Calibri" w:hAnsi="Calibri" w:cs="Calibri"/>
          <w:i/>
          <w:sz w:val="22"/>
        </w:rPr>
        <w:t xml:space="preserve"> - Dugo Selo, Rekonstrukcija postojećeg i izgradnja drugog kolosijeka na dionici Dugo Selo - Križevci, pruga DG - </w:t>
      </w:r>
      <w:proofErr w:type="spellStart"/>
      <w:r>
        <w:rPr>
          <w:rFonts w:ascii="Calibri" w:hAnsi="Calibri" w:cs="Calibri"/>
          <w:i/>
          <w:sz w:val="22"/>
        </w:rPr>
        <w:t>Botovo</w:t>
      </w:r>
      <w:proofErr w:type="spellEnd"/>
      <w:r>
        <w:rPr>
          <w:rFonts w:ascii="Calibri" w:hAnsi="Calibri" w:cs="Calibri"/>
          <w:i/>
          <w:sz w:val="22"/>
        </w:rPr>
        <w:t xml:space="preserve"> - Dugo Selo</w:t>
      </w:r>
      <w:r>
        <w:rPr>
          <w:rFonts w:ascii="Calibri" w:hAnsi="Calibri" w:cs="Calibri"/>
          <w:sz w:val="22"/>
        </w:rPr>
        <w:t xml:space="preserve"> i drugi.</w:t>
      </w:r>
    </w:p>
    <w:p w14:paraId="5925689A" w14:textId="77777777" w:rsidR="007C427E" w:rsidRDefault="00DC4F7D">
      <w:pPr>
        <w:spacing w:line="240" w:lineRule="auto"/>
        <w:ind w:left="709" w:hanging="360"/>
        <w:jc w:val="both"/>
      </w:pPr>
      <w:r>
        <w:rPr>
          <w:rFonts w:ascii="Calibri" w:hAnsi="Calibri" w:cs="Calibri"/>
          <w:sz w:val="22"/>
        </w:rPr>
        <w:t xml:space="preserve">2. Smanjenja pozicije </w:t>
      </w:r>
      <w:r>
        <w:rPr>
          <w:rFonts w:ascii="Calibri" w:hAnsi="Calibri" w:cs="Calibri"/>
          <w:i/>
          <w:sz w:val="22"/>
        </w:rPr>
        <w:t xml:space="preserve">Pomoći temeljem prijenosa EU sredstava </w:t>
      </w:r>
      <w:r>
        <w:rPr>
          <w:rFonts w:ascii="Calibri" w:hAnsi="Calibri" w:cs="Calibri"/>
          <w:sz w:val="22"/>
        </w:rPr>
        <w:t xml:space="preserve">u iznosu 7.522.430 EUR što se odnosi na promjene vezane za projekte koji se financiraju iz </w:t>
      </w:r>
      <w:proofErr w:type="spellStart"/>
      <w:r>
        <w:rPr>
          <w:rFonts w:ascii="Calibri" w:hAnsi="Calibri" w:cs="Calibri"/>
          <w:sz w:val="22"/>
        </w:rPr>
        <w:t>NPOO</w:t>
      </w:r>
      <w:proofErr w:type="spellEnd"/>
      <w:r>
        <w:rPr>
          <w:rFonts w:ascii="Calibri" w:hAnsi="Calibri" w:cs="Calibri"/>
          <w:sz w:val="22"/>
        </w:rPr>
        <w:t xml:space="preserve"> programa i to projekte </w:t>
      </w:r>
      <w:r>
        <w:rPr>
          <w:rFonts w:ascii="Calibri" w:hAnsi="Calibri" w:cs="Calibri"/>
          <w:i/>
          <w:sz w:val="22"/>
        </w:rPr>
        <w:t>Modernizacija pruge M604 Oštarije – Knin – Split</w:t>
      </w:r>
      <w:r>
        <w:rPr>
          <w:rFonts w:ascii="Calibri" w:hAnsi="Calibri" w:cs="Calibri"/>
          <w:sz w:val="22"/>
        </w:rPr>
        <w:t xml:space="preserve"> i </w:t>
      </w:r>
      <w:r>
        <w:rPr>
          <w:rFonts w:ascii="Calibri" w:hAnsi="Calibri" w:cs="Calibri"/>
          <w:i/>
          <w:sz w:val="22"/>
        </w:rPr>
        <w:t xml:space="preserve">Uklanjanje "uskih grla" na željezničkoj infrastrukturi. </w:t>
      </w:r>
      <w:r>
        <w:rPr>
          <w:rFonts w:ascii="Calibri" w:hAnsi="Calibri" w:cs="Calibri"/>
          <w:sz w:val="22"/>
        </w:rPr>
        <w:t xml:space="preserve">Predmetno smanjenje rezultat je promijenjene planirane dinamike realizacije projekta </w:t>
      </w:r>
      <w:r>
        <w:rPr>
          <w:rFonts w:ascii="Calibri" w:hAnsi="Calibri" w:cs="Calibri"/>
          <w:i/>
          <w:sz w:val="22"/>
        </w:rPr>
        <w:t xml:space="preserve">Uklanjanje "uskih grla" na željezničkoj infrastrukturi a za Projekt Modernizacija pruge M604 Oštarije – Knin – Split </w:t>
      </w:r>
      <w:r>
        <w:rPr>
          <w:rFonts w:ascii="Calibri" w:hAnsi="Calibri" w:cs="Calibri"/>
          <w:sz w:val="22"/>
        </w:rPr>
        <w:t>radi se o prenamjeni na drugi EU izvor financ</w:t>
      </w:r>
      <w:r>
        <w:rPr>
          <w:rFonts w:ascii="Calibri" w:hAnsi="Calibri" w:cs="Calibri"/>
          <w:sz w:val="22"/>
        </w:rPr>
        <w:t>iranja.</w:t>
      </w:r>
    </w:p>
    <w:p w14:paraId="0B2ACD77" w14:textId="77777777" w:rsidR="007C427E" w:rsidRDefault="00DC4F7D">
      <w:pPr>
        <w:spacing w:line="240" w:lineRule="auto"/>
        <w:ind w:left="284" w:hanging="284"/>
        <w:jc w:val="both"/>
      </w:pPr>
      <w:r>
        <w:rPr>
          <w:rFonts w:ascii="Calibri" w:hAnsi="Calibri" w:cs="Calibri"/>
          <w:sz w:val="22"/>
        </w:rPr>
        <w:t xml:space="preserve">b) Smanjenje skupine </w:t>
      </w:r>
      <w:r>
        <w:rPr>
          <w:rFonts w:ascii="Calibri" w:hAnsi="Calibri" w:cs="Calibri"/>
          <w:i/>
          <w:sz w:val="22"/>
        </w:rPr>
        <w:t>65 Prihodi od upravnih i administrativnih pristojbi, pristojbi po posebnim propisima i naknada</w:t>
      </w:r>
      <w:r>
        <w:rPr>
          <w:rFonts w:ascii="Calibri" w:hAnsi="Calibri" w:cs="Calibri"/>
          <w:sz w:val="22"/>
        </w:rPr>
        <w:t xml:space="preserve"> u iznosu 25.000.000 EUR proizašlo je uslijed reklasifikacije prihoda skupine 65 na primitke skupine 83 Primici od prodaje financijskih instrumenata - dionica i udjela u glavnici budući da je predmetni iznos vezan za Nagodbu Republike Hrvatske i HŽ Infrastrukture o uređenju imovinsko-pravnih pitanja preostalih nakon podjele HŽ-Hrvatske željeznice d.o.o. koja je sklopljena s ciljem namire potraživanja za manje prene</w:t>
      </w:r>
      <w:r>
        <w:rPr>
          <w:rFonts w:ascii="Calibri" w:hAnsi="Calibri" w:cs="Calibri"/>
          <w:sz w:val="22"/>
        </w:rPr>
        <w:t xml:space="preserve">seni temeljni kapital na ime ulaganja u javno dobro. </w:t>
      </w:r>
    </w:p>
    <w:p w14:paraId="041908D4" w14:textId="77777777" w:rsidR="007C427E" w:rsidRDefault="00DC4F7D">
      <w:pPr>
        <w:spacing w:line="240" w:lineRule="auto"/>
        <w:ind w:left="501"/>
        <w:jc w:val="both"/>
      </w:pPr>
      <w:r>
        <w:rPr>
          <w:rFonts w:ascii="Calibri" w:hAnsi="Calibri" w:cs="Calibri"/>
          <w:sz w:val="22"/>
        </w:rPr>
        <w:t> </w:t>
      </w:r>
    </w:p>
    <w:p w14:paraId="4F746224" w14:textId="77777777" w:rsidR="007C427E" w:rsidRDefault="00DC4F7D">
      <w:pPr>
        <w:spacing w:line="240" w:lineRule="auto"/>
        <w:jc w:val="both"/>
      </w:pPr>
      <w:r>
        <w:rPr>
          <w:rFonts w:ascii="Calibri" w:hAnsi="Calibri" w:cs="Calibri"/>
          <w:sz w:val="22"/>
        </w:rPr>
        <w:t>PRIHODI POSLOVANJA</w:t>
      </w:r>
    </w:p>
    <w:p w14:paraId="3EE5D09A" w14:textId="77777777" w:rsidR="007C427E" w:rsidRDefault="00DC4F7D">
      <w:pPr>
        <w:spacing w:line="240" w:lineRule="auto"/>
        <w:jc w:val="both"/>
      </w:pPr>
      <w:r>
        <w:rPr>
          <w:rFonts w:ascii="Calibri" w:hAnsi="Calibri" w:cs="Calibri"/>
          <w:sz w:val="22"/>
        </w:rPr>
        <w:t xml:space="preserve">Zakonom o željeznici utvrđeni su izvori sredstava za financiranje željezničke infrastrukture i za financiranje upravitelja željezničke infrastrukture. </w:t>
      </w:r>
    </w:p>
    <w:p w14:paraId="11806F67" w14:textId="77777777" w:rsidR="007C427E" w:rsidRDefault="00DC4F7D">
      <w:pPr>
        <w:spacing w:line="240" w:lineRule="auto"/>
        <w:jc w:val="both"/>
      </w:pPr>
      <w:r>
        <w:rPr>
          <w:rFonts w:ascii="Calibri" w:hAnsi="Calibri" w:cs="Calibri"/>
          <w:sz w:val="22"/>
        </w:rPr>
        <w:t xml:space="preserve">U strukturi planiranih prihoda poslovanja za 2025. godinu prihodi kojima se financiraju izdaci za održavanje, obnovu, modernizaciju i izgradnju željezničke infrastrukture povećani su za 77.465.609 EUR  i u Novom planu iznose 396.400.009 EUR, te čine 71,4% ukupnih prihoda poslovanja, a ostvaruju se iz: </w:t>
      </w:r>
    </w:p>
    <w:p w14:paraId="073E7287" w14:textId="77777777" w:rsidR="007C427E" w:rsidRDefault="00DC4F7D">
      <w:pPr>
        <w:spacing w:line="240" w:lineRule="auto"/>
        <w:ind w:left="426" w:hanging="426"/>
        <w:jc w:val="both"/>
      </w:pPr>
      <w:r>
        <w:rPr>
          <w:rFonts w:ascii="Calibri" w:hAnsi="Calibri" w:cs="Calibri"/>
          <w:sz w:val="22"/>
        </w:rPr>
        <w:t>▪</w:t>
      </w:r>
      <w:r>
        <w:rPr>
          <w:rFonts w:ascii="Calibri" w:hAnsi="Calibri" w:cs="Calibri"/>
          <w:sz w:val="22"/>
        </w:rPr>
        <w:t>      Kapitalnih pomoći od međunarodnih organizacija te institucija i tijela EU u iznosu 360.000 EUR</w:t>
      </w:r>
    </w:p>
    <w:p w14:paraId="01BC49B0" w14:textId="77777777" w:rsidR="007C427E" w:rsidRDefault="00DC4F7D">
      <w:pPr>
        <w:spacing w:line="240" w:lineRule="auto"/>
        <w:ind w:left="426" w:hanging="426"/>
        <w:jc w:val="both"/>
      </w:pPr>
      <w:r>
        <w:rPr>
          <w:rFonts w:ascii="Calibri" w:hAnsi="Calibri" w:cs="Calibri"/>
          <w:sz w:val="22"/>
        </w:rPr>
        <w:t>▪</w:t>
      </w:r>
      <w:r>
        <w:rPr>
          <w:rFonts w:ascii="Calibri" w:hAnsi="Calibri" w:cs="Calibri"/>
          <w:sz w:val="22"/>
        </w:rPr>
        <w:t>     Tekućih i kapitalnih pomoći temeljem prijenosa EU sredstava u iznosu 20.777.770 EUR</w:t>
      </w:r>
    </w:p>
    <w:p w14:paraId="2F639199" w14:textId="77777777" w:rsidR="007C427E" w:rsidRDefault="00DC4F7D">
      <w:pPr>
        <w:spacing w:line="240" w:lineRule="auto"/>
        <w:ind w:left="426" w:hanging="426"/>
        <w:jc w:val="both"/>
      </w:pPr>
      <w:r>
        <w:rPr>
          <w:rFonts w:ascii="Calibri" w:hAnsi="Calibri" w:cs="Calibri"/>
          <w:sz w:val="22"/>
        </w:rPr>
        <w:t>▪</w:t>
      </w:r>
      <w:r>
        <w:rPr>
          <w:rFonts w:ascii="Calibri" w:hAnsi="Calibri" w:cs="Calibri"/>
          <w:sz w:val="22"/>
        </w:rPr>
        <w:t xml:space="preserve">     Tekućih i kapitalnih pomoći iz općeg proračuna u iznosu 375.262.239 EUR od kojih su: </w:t>
      </w:r>
    </w:p>
    <w:p w14:paraId="19D557F4" w14:textId="77777777" w:rsidR="007C427E" w:rsidRDefault="00DC4F7D">
      <w:pPr>
        <w:spacing w:line="240" w:lineRule="auto"/>
        <w:ind w:left="993" w:hanging="284"/>
        <w:jc w:val="both"/>
      </w:pPr>
      <w:r>
        <w:rPr>
          <w:rFonts w:ascii="Calibri" w:hAnsi="Calibri" w:cs="Calibri"/>
          <w:sz w:val="22"/>
        </w:rPr>
        <w:t>-    Trošarine – naknade u cijeni goriva u iznosu 101.585.708 EUR</w:t>
      </w:r>
    </w:p>
    <w:p w14:paraId="289BED0E" w14:textId="77777777" w:rsidR="007C427E" w:rsidRDefault="00DC4F7D">
      <w:pPr>
        <w:spacing w:line="240" w:lineRule="auto"/>
        <w:ind w:left="993" w:hanging="284"/>
        <w:jc w:val="both"/>
      </w:pPr>
      <w:r>
        <w:rPr>
          <w:rFonts w:ascii="Calibri" w:hAnsi="Calibri" w:cs="Calibri"/>
          <w:sz w:val="22"/>
        </w:rPr>
        <w:t>-    Potpora u pripremi i provedbi projekata planiranih za sufinanciranje iz EU fondova u iznosu 5.100.300 EUR</w:t>
      </w:r>
    </w:p>
    <w:p w14:paraId="00E1FB85" w14:textId="77777777" w:rsidR="007C427E" w:rsidRDefault="00DC4F7D">
      <w:pPr>
        <w:spacing w:line="240" w:lineRule="auto"/>
        <w:ind w:left="993" w:hanging="284"/>
        <w:jc w:val="both"/>
      </w:pPr>
      <w:r>
        <w:rPr>
          <w:rFonts w:ascii="Calibri" w:hAnsi="Calibri" w:cs="Calibri"/>
          <w:sz w:val="22"/>
        </w:rPr>
        <w:t xml:space="preserve">-    Prilagodba željezničkih graničnih prijelaza za provedbu </w:t>
      </w:r>
      <w:proofErr w:type="spellStart"/>
      <w:r>
        <w:rPr>
          <w:rFonts w:ascii="Calibri" w:hAnsi="Calibri" w:cs="Calibri"/>
          <w:sz w:val="22"/>
        </w:rPr>
        <w:t>schengenske</w:t>
      </w:r>
      <w:proofErr w:type="spellEnd"/>
      <w:r>
        <w:rPr>
          <w:rFonts w:ascii="Calibri" w:hAnsi="Calibri" w:cs="Calibri"/>
          <w:sz w:val="22"/>
        </w:rPr>
        <w:t xml:space="preserve"> pravne stečevine u iznosu 1.550.000 EUR</w:t>
      </w:r>
    </w:p>
    <w:p w14:paraId="787AD117" w14:textId="77777777" w:rsidR="007C427E" w:rsidRDefault="00DC4F7D">
      <w:pPr>
        <w:spacing w:line="240" w:lineRule="auto"/>
        <w:ind w:left="993" w:hanging="284"/>
        <w:jc w:val="both"/>
      </w:pPr>
      <w:r>
        <w:rPr>
          <w:rFonts w:ascii="Calibri" w:hAnsi="Calibri" w:cs="Calibri"/>
          <w:sz w:val="22"/>
        </w:rPr>
        <w:t>-    Financiranje i sufinanciranje građenja, modernizacije i obnove željezničke infrastrukture  u iznosu 240.577.644 EUR</w:t>
      </w:r>
    </w:p>
    <w:p w14:paraId="1AB44CE8" w14:textId="77777777" w:rsidR="007C427E" w:rsidRDefault="00DC4F7D">
      <w:pPr>
        <w:spacing w:line="240" w:lineRule="auto"/>
        <w:ind w:left="993" w:hanging="284"/>
        <w:jc w:val="both"/>
      </w:pPr>
      <w:r>
        <w:rPr>
          <w:rFonts w:ascii="Calibri" w:hAnsi="Calibri" w:cs="Calibri"/>
          <w:sz w:val="22"/>
        </w:rPr>
        <w:t>-    Opremanje pruga uređajem za automatsku zaštitu vlaka u iznosu 133.000 EUR</w:t>
      </w:r>
    </w:p>
    <w:p w14:paraId="11F70E5E" w14:textId="77777777" w:rsidR="007C427E" w:rsidRDefault="00DC4F7D">
      <w:pPr>
        <w:spacing w:line="240" w:lineRule="auto"/>
        <w:ind w:left="993" w:hanging="284"/>
        <w:jc w:val="both"/>
      </w:pPr>
      <w:r>
        <w:rPr>
          <w:rFonts w:ascii="Calibri" w:hAnsi="Calibri" w:cs="Calibri"/>
          <w:sz w:val="22"/>
        </w:rPr>
        <w:t xml:space="preserve">-    Potpora </w:t>
      </w:r>
      <w:r>
        <w:rPr>
          <w:rFonts w:ascii="Calibri" w:hAnsi="Calibri" w:cs="Calibri"/>
          <w:sz w:val="22"/>
        </w:rPr>
        <w:t xml:space="preserve">u provedbi </w:t>
      </w:r>
      <w:proofErr w:type="spellStart"/>
      <w:r>
        <w:rPr>
          <w:rFonts w:ascii="Calibri" w:hAnsi="Calibri" w:cs="Calibri"/>
          <w:sz w:val="22"/>
        </w:rPr>
        <w:t>CEF</w:t>
      </w:r>
      <w:proofErr w:type="spellEnd"/>
      <w:r>
        <w:rPr>
          <w:rFonts w:ascii="Calibri" w:hAnsi="Calibri" w:cs="Calibri"/>
          <w:sz w:val="22"/>
        </w:rPr>
        <w:t xml:space="preserve"> projekata željezničkog sektora u iznosu 19.299.700 EUR</w:t>
      </w:r>
    </w:p>
    <w:p w14:paraId="4DEED476" w14:textId="77777777" w:rsidR="007C427E" w:rsidRDefault="00DC4F7D">
      <w:pPr>
        <w:spacing w:line="240" w:lineRule="auto"/>
        <w:ind w:left="993" w:hanging="284"/>
        <w:jc w:val="both"/>
      </w:pPr>
      <w:r>
        <w:rPr>
          <w:rFonts w:ascii="Calibri" w:hAnsi="Calibri" w:cs="Calibri"/>
          <w:sz w:val="22"/>
        </w:rPr>
        <w:t xml:space="preserve">-    Potpora u provedbi </w:t>
      </w:r>
      <w:proofErr w:type="spellStart"/>
      <w:r>
        <w:rPr>
          <w:rFonts w:ascii="Calibri" w:hAnsi="Calibri" w:cs="Calibri"/>
          <w:sz w:val="22"/>
        </w:rPr>
        <w:t>NPOO</w:t>
      </w:r>
      <w:proofErr w:type="spellEnd"/>
      <w:r>
        <w:rPr>
          <w:rFonts w:ascii="Calibri" w:hAnsi="Calibri" w:cs="Calibri"/>
          <w:sz w:val="22"/>
        </w:rPr>
        <w:t xml:space="preserve"> projekata željezničkog sektora u iznosu 2.500.000 EUR</w:t>
      </w:r>
    </w:p>
    <w:p w14:paraId="5E598211" w14:textId="77777777" w:rsidR="007C427E" w:rsidRDefault="00DC4F7D">
      <w:pPr>
        <w:spacing w:line="240" w:lineRule="auto"/>
        <w:ind w:left="993" w:hanging="284"/>
        <w:jc w:val="both"/>
      </w:pPr>
      <w:r>
        <w:rPr>
          <w:rFonts w:ascii="Calibri" w:hAnsi="Calibri" w:cs="Calibri"/>
          <w:sz w:val="22"/>
        </w:rPr>
        <w:t>-    Nacionalna komponenta za projekte sufinancirane EU sredstvima u iznosu 2.441.683 EUR</w:t>
      </w:r>
    </w:p>
    <w:p w14:paraId="2ADF9FCB" w14:textId="77777777" w:rsidR="007C427E" w:rsidRDefault="00DC4F7D">
      <w:pPr>
        <w:spacing w:line="240" w:lineRule="auto"/>
        <w:ind w:left="993" w:hanging="284"/>
        <w:jc w:val="both"/>
      </w:pPr>
      <w:r>
        <w:rPr>
          <w:rFonts w:ascii="Calibri" w:hAnsi="Calibri" w:cs="Calibri"/>
          <w:sz w:val="22"/>
        </w:rPr>
        <w:lastRenderedPageBreak/>
        <w:t xml:space="preserve">-    Financiranje projekta globalnog sustava pokretnih komunikacija za željeznički promet (GSM-R) i migracija na </w:t>
      </w:r>
      <w:proofErr w:type="spellStart"/>
      <w:r>
        <w:rPr>
          <w:rFonts w:ascii="Calibri" w:hAnsi="Calibri" w:cs="Calibri"/>
          <w:sz w:val="22"/>
        </w:rPr>
        <w:t>FRMCS</w:t>
      </w:r>
      <w:proofErr w:type="spellEnd"/>
      <w:r>
        <w:rPr>
          <w:rFonts w:ascii="Calibri" w:hAnsi="Calibri" w:cs="Calibri"/>
          <w:sz w:val="22"/>
        </w:rPr>
        <w:t xml:space="preserve"> na željezničkim prugama kojima upravlja HŽ INFRASTRUKTURA d.o.o. u iznosu 950.000 EUR</w:t>
      </w:r>
    </w:p>
    <w:p w14:paraId="6001EB83" w14:textId="77777777" w:rsidR="007C427E" w:rsidRDefault="00DC4F7D">
      <w:pPr>
        <w:spacing w:line="240" w:lineRule="auto"/>
        <w:ind w:left="993" w:hanging="284"/>
        <w:jc w:val="both"/>
      </w:pPr>
      <w:r>
        <w:rPr>
          <w:rFonts w:ascii="Calibri" w:hAnsi="Calibri" w:cs="Calibri"/>
          <w:sz w:val="22"/>
        </w:rPr>
        <w:t>-    Potpora društvu HŽ Infrastruktura za dovršetak projekta financiranog iz IBRD zajma u iznosu 994.204 EUR</w:t>
      </w:r>
    </w:p>
    <w:p w14:paraId="44B4E658" w14:textId="77777777" w:rsidR="007C427E" w:rsidRDefault="00DC4F7D">
      <w:pPr>
        <w:spacing w:line="240" w:lineRule="auto"/>
        <w:ind w:left="993" w:hanging="284"/>
        <w:jc w:val="both"/>
      </w:pPr>
      <w:r>
        <w:rPr>
          <w:rFonts w:ascii="Calibri" w:hAnsi="Calibri" w:cs="Calibri"/>
          <w:sz w:val="22"/>
        </w:rPr>
        <w:t xml:space="preserve">-    Program sanacije onečišćenja okoliša na lokaciji "Praonice vagona i dezinfekcije stanice u </w:t>
      </w:r>
      <w:proofErr w:type="spellStart"/>
      <w:r>
        <w:rPr>
          <w:rFonts w:ascii="Calibri" w:hAnsi="Calibri" w:cs="Calibri"/>
          <w:sz w:val="22"/>
        </w:rPr>
        <w:t>Botovu</w:t>
      </w:r>
      <w:proofErr w:type="spellEnd"/>
      <w:r>
        <w:rPr>
          <w:rFonts w:ascii="Calibri" w:hAnsi="Calibri" w:cs="Calibri"/>
          <w:sz w:val="22"/>
        </w:rPr>
        <w:t>" u iznosu 130.000 EUR</w:t>
      </w:r>
    </w:p>
    <w:p w14:paraId="6AF58B11" w14:textId="77777777" w:rsidR="007C427E" w:rsidRDefault="00DC4F7D">
      <w:pPr>
        <w:spacing w:line="240" w:lineRule="auto"/>
        <w:jc w:val="both"/>
      </w:pPr>
      <w:r>
        <w:rPr>
          <w:rFonts w:ascii="Calibri" w:hAnsi="Calibri" w:cs="Calibri"/>
          <w:sz w:val="22"/>
        </w:rPr>
        <w:t>Prihodi kojima se financiraju izdaci za upravljanje, organizaciju i regulaciju željezničkog prometa u Novom planu za 2025. godinu manji su za 11.268.241 EUR i iznose ukupno 159.161.759 EUR što čini 28,6% ukupnih prihoda, a ostvaruju se iz:</w:t>
      </w:r>
    </w:p>
    <w:p w14:paraId="68E507DB" w14:textId="77777777" w:rsidR="007C427E" w:rsidRDefault="00DC4F7D">
      <w:pPr>
        <w:spacing w:line="240" w:lineRule="auto"/>
        <w:ind w:left="426" w:hanging="426"/>
        <w:jc w:val="both"/>
      </w:pPr>
      <w:r>
        <w:rPr>
          <w:rFonts w:ascii="Calibri" w:hAnsi="Calibri" w:cs="Calibri"/>
          <w:sz w:val="22"/>
        </w:rPr>
        <w:t>▪</w:t>
      </w:r>
      <w:r>
        <w:rPr>
          <w:rFonts w:ascii="Calibri" w:hAnsi="Calibri" w:cs="Calibri"/>
          <w:sz w:val="22"/>
        </w:rPr>
        <w:t>     prihoda od imovine u iznosu od 5.030.000 EUR,</w:t>
      </w:r>
    </w:p>
    <w:p w14:paraId="356B3FFD" w14:textId="77777777" w:rsidR="007C427E" w:rsidRDefault="00DC4F7D">
      <w:pPr>
        <w:spacing w:line="240" w:lineRule="auto"/>
        <w:ind w:left="426" w:hanging="426"/>
        <w:jc w:val="both"/>
      </w:pPr>
      <w:r>
        <w:rPr>
          <w:rFonts w:ascii="Calibri" w:hAnsi="Calibri" w:cs="Calibri"/>
          <w:sz w:val="22"/>
        </w:rPr>
        <w:t>▪</w:t>
      </w:r>
      <w:r>
        <w:rPr>
          <w:rFonts w:ascii="Calibri" w:hAnsi="Calibri" w:cs="Calibri"/>
          <w:sz w:val="22"/>
        </w:rPr>
        <w:t>     prihoda od prodaje roba i usluga u iznosu 36.500.000 EUR i</w:t>
      </w:r>
    </w:p>
    <w:p w14:paraId="6E82A82C" w14:textId="77777777" w:rsidR="007C427E" w:rsidRDefault="00DC4F7D">
      <w:pPr>
        <w:spacing w:line="240" w:lineRule="auto"/>
        <w:ind w:left="426" w:hanging="426"/>
        <w:jc w:val="both"/>
      </w:pPr>
      <w:r>
        <w:rPr>
          <w:rFonts w:ascii="Calibri" w:hAnsi="Calibri" w:cs="Calibri"/>
          <w:sz w:val="22"/>
        </w:rPr>
        <w:t>▪</w:t>
      </w:r>
      <w:r>
        <w:rPr>
          <w:rFonts w:ascii="Calibri" w:hAnsi="Calibri" w:cs="Calibri"/>
          <w:sz w:val="22"/>
        </w:rPr>
        <w:t>     tekućih pomoći iz općeg proračuna za upravljanje, organizaciju i regulaciju prometa u iznosu 117.631.759 EUR </w:t>
      </w:r>
    </w:p>
    <w:p w14:paraId="257A82F7" w14:textId="77777777" w:rsidR="007C427E" w:rsidRDefault="00DC4F7D">
      <w:pPr>
        <w:spacing w:line="240" w:lineRule="auto"/>
      </w:pPr>
      <w:r>
        <w:rPr>
          <w:rFonts w:ascii="Calibri" w:hAnsi="Calibri" w:cs="Calibri"/>
          <w:b/>
          <w:sz w:val="22"/>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11"/>
        <w:gridCol w:w="1604"/>
        <w:gridCol w:w="1604"/>
        <w:gridCol w:w="1604"/>
        <w:gridCol w:w="803"/>
      </w:tblGrid>
      <w:tr w:rsidR="007C427E" w14:paraId="36AD339A" w14:textId="77777777">
        <w:tc>
          <w:tcPr>
            <w:tcW w:w="2000" w:type="pct"/>
            <w:shd w:val="clear" w:color="auto" w:fill="BCDFFB"/>
            <w:vAlign w:val="center"/>
          </w:tcPr>
          <w:p w14:paraId="67FF159F" w14:textId="77777777" w:rsidR="007C427E" w:rsidRDefault="007C427E">
            <w:pPr>
              <w:spacing w:after="0" w:line="240" w:lineRule="auto"/>
              <w:jc w:val="center"/>
            </w:pPr>
          </w:p>
        </w:tc>
        <w:tc>
          <w:tcPr>
            <w:tcW w:w="800" w:type="pct"/>
            <w:shd w:val="clear" w:color="auto" w:fill="BCDFFB"/>
            <w:vAlign w:val="center"/>
          </w:tcPr>
          <w:p w14:paraId="3FED5113" w14:textId="77777777" w:rsidR="007C427E" w:rsidRDefault="00DC4F7D">
            <w:pPr>
              <w:spacing w:after="0" w:line="240" w:lineRule="auto"/>
              <w:jc w:val="center"/>
            </w:pPr>
            <w:r>
              <w:rPr>
                <w:rFonts w:ascii="Calibri" w:hAnsi="Calibri" w:cs="Calibri"/>
                <w:b/>
                <w:sz w:val="18"/>
              </w:rPr>
              <w:t>Plan za 2025.</w:t>
            </w:r>
          </w:p>
        </w:tc>
        <w:tc>
          <w:tcPr>
            <w:tcW w:w="800" w:type="pct"/>
            <w:shd w:val="clear" w:color="auto" w:fill="BCDFFB"/>
            <w:vAlign w:val="center"/>
          </w:tcPr>
          <w:p w14:paraId="0E4C175A" w14:textId="77777777" w:rsidR="007C427E" w:rsidRDefault="00DC4F7D">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18289C2F" w14:textId="77777777" w:rsidR="007C427E" w:rsidRDefault="00DC4F7D">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68FC6B4C" w14:textId="77777777" w:rsidR="007C427E" w:rsidRDefault="00DC4F7D">
            <w:pPr>
              <w:spacing w:after="0" w:line="240" w:lineRule="auto"/>
              <w:jc w:val="center"/>
            </w:pPr>
            <w:r>
              <w:rPr>
                <w:rFonts w:ascii="Calibri" w:hAnsi="Calibri" w:cs="Calibri"/>
                <w:b/>
                <w:sz w:val="18"/>
              </w:rPr>
              <w:t>Indeks</w:t>
            </w:r>
          </w:p>
        </w:tc>
      </w:tr>
      <w:tr w:rsidR="007C427E" w14:paraId="25A32F48" w14:textId="77777777">
        <w:tc>
          <w:tcPr>
            <w:tcW w:w="2000" w:type="pct"/>
            <w:vAlign w:val="bottom"/>
          </w:tcPr>
          <w:p w14:paraId="2DA1717D" w14:textId="77777777" w:rsidR="007C427E" w:rsidRDefault="00DC4F7D">
            <w:pPr>
              <w:spacing w:after="0" w:line="240" w:lineRule="auto"/>
            </w:pPr>
            <w:r>
              <w:rPr>
                <w:rFonts w:ascii="Calibri" w:hAnsi="Calibri" w:cs="Calibri"/>
                <w:sz w:val="18"/>
              </w:rPr>
              <w:t>RASHODI POSLOVANJA</w:t>
            </w:r>
          </w:p>
        </w:tc>
        <w:tc>
          <w:tcPr>
            <w:tcW w:w="800" w:type="pct"/>
            <w:vAlign w:val="bottom"/>
          </w:tcPr>
          <w:p w14:paraId="258B9A62" w14:textId="77777777" w:rsidR="007C427E" w:rsidRDefault="00DC4F7D">
            <w:pPr>
              <w:spacing w:after="0" w:line="240" w:lineRule="auto"/>
              <w:jc w:val="right"/>
            </w:pPr>
            <w:r>
              <w:rPr>
                <w:rFonts w:ascii="Calibri" w:hAnsi="Calibri" w:cs="Calibri"/>
                <w:sz w:val="18"/>
              </w:rPr>
              <w:t>218.583.000</w:t>
            </w:r>
          </w:p>
        </w:tc>
        <w:tc>
          <w:tcPr>
            <w:tcW w:w="800" w:type="pct"/>
            <w:vAlign w:val="bottom"/>
          </w:tcPr>
          <w:p w14:paraId="77AE707F" w14:textId="77777777" w:rsidR="007C427E" w:rsidRDefault="00DC4F7D">
            <w:pPr>
              <w:spacing w:after="0" w:line="240" w:lineRule="auto"/>
              <w:jc w:val="right"/>
            </w:pPr>
            <w:r>
              <w:rPr>
                <w:rFonts w:ascii="Calibri" w:hAnsi="Calibri" w:cs="Calibri"/>
                <w:sz w:val="18"/>
              </w:rPr>
              <w:t>3.583.000</w:t>
            </w:r>
          </w:p>
        </w:tc>
        <w:tc>
          <w:tcPr>
            <w:tcW w:w="800" w:type="pct"/>
            <w:vAlign w:val="bottom"/>
          </w:tcPr>
          <w:p w14:paraId="7A1EC29A" w14:textId="77777777" w:rsidR="007C427E" w:rsidRDefault="00DC4F7D">
            <w:pPr>
              <w:spacing w:after="0" w:line="240" w:lineRule="auto"/>
              <w:jc w:val="right"/>
            </w:pPr>
            <w:r>
              <w:rPr>
                <w:rFonts w:ascii="Calibri" w:hAnsi="Calibri" w:cs="Calibri"/>
                <w:sz w:val="18"/>
              </w:rPr>
              <w:t>222.166.000</w:t>
            </w:r>
          </w:p>
        </w:tc>
        <w:tc>
          <w:tcPr>
            <w:tcW w:w="400" w:type="pct"/>
            <w:vAlign w:val="bottom"/>
          </w:tcPr>
          <w:p w14:paraId="091C8190" w14:textId="77777777" w:rsidR="007C427E" w:rsidRDefault="00DC4F7D">
            <w:pPr>
              <w:spacing w:after="0" w:line="240" w:lineRule="auto"/>
              <w:jc w:val="right"/>
            </w:pPr>
            <w:r>
              <w:rPr>
                <w:rFonts w:ascii="Calibri" w:hAnsi="Calibri" w:cs="Calibri"/>
                <w:sz w:val="18"/>
              </w:rPr>
              <w:t>101,6</w:t>
            </w:r>
          </w:p>
        </w:tc>
      </w:tr>
      <w:tr w:rsidR="007C427E" w14:paraId="71F7CF59" w14:textId="77777777">
        <w:tc>
          <w:tcPr>
            <w:tcW w:w="2000" w:type="pct"/>
            <w:vAlign w:val="bottom"/>
          </w:tcPr>
          <w:p w14:paraId="005998F4" w14:textId="77777777" w:rsidR="007C427E" w:rsidRDefault="00DC4F7D">
            <w:pPr>
              <w:spacing w:after="0" w:line="240" w:lineRule="auto"/>
            </w:pPr>
            <w:r>
              <w:rPr>
                <w:rFonts w:ascii="Calibri" w:hAnsi="Calibri" w:cs="Calibri"/>
                <w:sz w:val="18"/>
              </w:rPr>
              <w:t>RASHODI ZA NABAVU NEFINANCIJSKE IMOVINE</w:t>
            </w:r>
          </w:p>
        </w:tc>
        <w:tc>
          <w:tcPr>
            <w:tcW w:w="800" w:type="pct"/>
            <w:vAlign w:val="bottom"/>
          </w:tcPr>
          <w:p w14:paraId="084D7A2C" w14:textId="77777777" w:rsidR="007C427E" w:rsidRDefault="00DC4F7D">
            <w:pPr>
              <w:spacing w:after="0" w:line="240" w:lineRule="auto"/>
              <w:jc w:val="right"/>
            </w:pPr>
            <w:r>
              <w:rPr>
                <w:rFonts w:ascii="Calibri" w:hAnsi="Calibri" w:cs="Calibri"/>
                <w:sz w:val="18"/>
              </w:rPr>
              <w:t>312.928.031</w:t>
            </w:r>
          </w:p>
        </w:tc>
        <w:tc>
          <w:tcPr>
            <w:tcW w:w="800" w:type="pct"/>
            <w:vAlign w:val="bottom"/>
          </w:tcPr>
          <w:p w14:paraId="1F549FF0" w14:textId="77777777" w:rsidR="007C427E" w:rsidRDefault="00DC4F7D">
            <w:pPr>
              <w:spacing w:after="0" w:line="240" w:lineRule="auto"/>
              <w:jc w:val="right"/>
            </w:pPr>
            <w:r>
              <w:rPr>
                <w:rFonts w:ascii="Calibri" w:hAnsi="Calibri" w:cs="Calibri"/>
                <w:sz w:val="18"/>
              </w:rPr>
              <w:t>10.812.969</w:t>
            </w:r>
          </w:p>
        </w:tc>
        <w:tc>
          <w:tcPr>
            <w:tcW w:w="800" w:type="pct"/>
            <w:vAlign w:val="bottom"/>
          </w:tcPr>
          <w:p w14:paraId="0C8873A7" w14:textId="77777777" w:rsidR="007C427E" w:rsidRDefault="00DC4F7D">
            <w:pPr>
              <w:spacing w:after="0" w:line="240" w:lineRule="auto"/>
              <w:jc w:val="right"/>
            </w:pPr>
            <w:r>
              <w:rPr>
                <w:rFonts w:ascii="Calibri" w:hAnsi="Calibri" w:cs="Calibri"/>
                <w:sz w:val="18"/>
              </w:rPr>
              <w:t>323.741.000</w:t>
            </w:r>
          </w:p>
        </w:tc>
        <w:tc>
          <w:tcPr>
            <w:tcW w:w="400" w:type="pct"/>
            <w:vAlign w:val="bottom"/>
          </w:tcPr>
          <w:p w14:paraId="69C97E1B" w14:textId="77777777" w:rsidR="007C427E" w:rsidRDefault="00DC4F7D">
            <w:pPr>
              <w:spacing w:after="0" w:line="240" w:lineRule="auto"/>
              <w:jc w:val="right"/>
            </w:pPr>
            <w:r>
              <w:rPr>
                <w:rFonts w:ascii="Calibri" w:hAnsi="Calibri" w:cs="Calibri"/>
                <w:sz w:val="18"/>
              </w:rPr>
              <w:t>103,5</w:t>
            </w:r>
          </w:p>
        </w:tc>
      </w:tr>
      <w:tr w:rsidR="007C427E" w14:paraId="71A71378" w14:textId="77777777">
        <w:tc>
          <w:tcPr>
            <w:tcW w:w="2000" w:type="pct"/>
            <w:vAlign w:val="bottom"/>
          </w:tcPr>
          <w:p w14:paraId="4ADA8351" w14:textId="77777777" w:rsidR="007C427E" w:rsidRDefault="00DC4F7D">
            <w:pPr>
              <w:spacing w:after="0" w:line="240" w:lineRule="auto"/>
            </w:pPr>
            <w:r>
              <w:rPr>
                <w:rFonts w:ascii="Calibri" w:hAnsi="Calibri" w:cs="Calibri"/>
                <w:b/>
                <w:sz w:val="18"/>
              </w:rPr>
              <w:t>UKUPNI RASHODI</w:t>
            </w:r>
          </w:p>
        </w:tc>
        <w:tc>
          <w:tcPr>
            <w:tcW w:w="800" w:type="pct"/>
            <w:vAlign w:val="bottom"/>
          </w:tcPr>
          <w:p w14:paraId="3BEC892D" w14:textId="77777777" w:rsidR="007C427E" w:rsidRDefault="00DC4F7D">
            <w:pPr>
              <w:spacing w:after="0" w:line="240" w:lineRule="auto"/>
              <w:jc w:val="right"/>
            </w:pPr>
            <w:r>
              <w:rPr>
                <w:rFonts w:ascii="Calibri" w:hAnsi="Calibri" w:cs="Calibri"/>
                <w:b/>
                <w:sz w:val="18"/>
              </w:rPr>
              <w:t>531.511.031</w:t>
            </w:r>
          </w:p>
        </w:tc>
        <w:tc>
          <w:tcPr>
            <w:tcW w:w="800" w:type="pct"/>
            <w:vAlign w:val="bottom"/>
          </w:tcPr>
          <w:p w14:paraId="7C575983" w14:textId="77777777" w:rsidR="007C427E" w:rsidRDefault="00DC4F7D">
            <w:pPr>
              <w:spacing w:after="0" w:line="240" w:lineRule="auto"/>
              <w:jc w:val="right"/>
            </w:pPr>
            <w:r>
              <w:rPr>
                <w:rFonts w:ascii="Calibri" w:hAnsi="Calibri" w:cs="Calibri"/>
                <w:b/>
                <w:sz w:val="18"/>
              </w:rPr>
              <w:t>14.395.969</w:t>
            </w:r>
          </w:p>
        </w:tc>
        <w:tc>
          <w:tcPr>
            <w:tcW w:w="800" w:type="pct"/>
            <w:vAlign w:val="bottom"/>
          </w:tcPr>
          <w:p w14:paraId="3E11F272" w14:textId="77777777" w:rsidR="007C427E" w:rsidRDefault="00DC4F7D">
            <w:pPr>
              <w:spacing w:after="0" w:line="240" w:lineRule="auto"/>
              <w:jc w:val="right"/>
            </w:pPr>
            <w:r>
              <w:rPr>
                <w:rFonts w:ascii="Calibri" w:hAnsi="Calibri" w:cs="Calibri"/>
                <w:b/>
                <w:sz w:val="18"/>
              </w:rPr>
              <w:t>545.907.000</w:t>
            </w:r>
          </w:p>
        </w:tc>
        <w:tc>
          <w:tcPr>
            <w:tcW w:w="400" w:type="pct"/>
            <w:vAlign w:val="bottom"/>
          </w:tcPr>
          <w:p w14:paraId="518EE2FE" w14:textId="77777777" w:rsidR="007C427E" w:rsidRDefault="00DC4F7D">
            <w:pPr>
              <w:spacing w:after="0" w:line="240" w:lineRule="auto"/>
              <w:jc w:val="right"/>
            </w:pPr>
            <w:r>
              <w:rPr>
                <w:rFonts w:ascii="Calibri" w:hAnsi="Calibri" w:cs="Calibri"/>
                <w:b/>
                <w:sz w:val="18"/>
              </w:rPr>
              <w:t>102,7</w:t>
            </w:r>
          </w:p>
        </w:tc>
      </w:tr>
    </w:tbl>
    <w:p w14:paraId="31A2E3B2" w14:textId="77777777" w:rsidR="007C427E" w:rsidRDefault="007C427E">
      <w:pPr>
        <w:spacing w:after="0" w:line="240" w:lineRule="auto"/>
      </w:pPr>
    </w:p>
    <w:p w14:paraId="5105FC4E" w14:textId="77777777" w:rsidR="007C427E" w:rsidRDefault="00DC4F7D">
      <w:pPr>
        <w:spacing w:line="240" w:lineRule="auto"/>
        <w:jc w:val="both"/>
      </w:pPr>
      <w:r>
        <w:rPr>
          <w:rFonts w:ascii="Calibri" w:hAnsi="Calibri" w:cs="Calibri"/>
          <w:sz w:val="22"/>
        </w:rPr>
        <w:t xml:space="preserve">Ukupni planirani rashodi za 2025. godinu u </w:t>
      </w:r>
      <w:r>
        <w:rPr>
          <w:rFonts w:ascii="Calibri" w:hAnsi="Calibri" w:cs="Calibri"/>
          <w:sz w:val="22"/>
        </w:rPr>
        <w:t>Novom planu povećani su za 14.395.969 EUR i iznose 545.907.000 EUR od kojih se na rashode poslovanja odnosi 222.166.000 EUR i povećanje za 3.583.000 EUR ili 1,6%, odnosno na rashode za nabavu nefinancijske imovine 323.741.000 EUR koji su povećani za 10.812.969 EUR ili za 3,5%.</w:t>
      </w:r>
    </w:p>
    <w:p w14:paraId="6DAD119A" w14:textId="77777777" w:rsidR="007C427E" w:rsidRDefault="00DC4F7D">
      <w:pPr>
        <w:spacing w:line="240" w:lineRule="auto"/>
        <w:jc w:val="both"/>
      </w:pPr>
      <w:r>
        <w:rPr>
          <w:rFonts w:ascii="Calibri" w:hAnsi="Calibri" w:cs="Calibri"/>
          <w:sz w:val="22"/>
        </w:rPr>
        <w:t xml:space="preserve">U ovim izmjenama i dopunama, promjene na ukupnim rashodima rezultat su usklađenja u odnosu na ostvarenje u prvom </w:t>
      </w:r>
      <w:r>
        <w:rPr>
          <w:rFonts w:ascii="Calibri" w:hAnsi="Calibri" w:cs="Calibri"/>
          <w:sz w:val="22"/>
        </w:rPr>
        <w:t>polugodištu 2025. godine i preuzetih obveza do kraja 2025. godine, kao i usklađenja dinamike realizacije investicijskih projekata temeljem dosadašnje realizacije i u odnosu na status postupaka javne nabave za planirane nove investicijske projekte u željezničku infrastrukturu. Najvećim dijelom, promjene su posljedica razlike u planiranoj i procijenjenoj dinamici podmirenja obveza. </w:t>
      </w:r>
    </w:p>
    <w:p w14:paraId="61E5F3F3" w14:textId="2C7633AC" w:rsidR="007C427E" w:rsidRDefault="00DC4F7D">
      <w:pPr>
        <w:spacing w:line="240" w:lineRule="auto"/>
        <w:jc w:val="both"/>
      </w:pPr>
      <w:r>
        <w:rPr>
          <w:rFonts w:ascii="Calibri" w:hAnsi="Calibri" w:cs="Calibri"/>
          <w:sz w:val="22"/>
        </w:rPr>
        <w:br/>
      </w:r>
      <w:r>
        <w:rPr>
          <w:rFonts w:ascii="Calibri" w:hAnsi="Calibri" w:cs="Calibri"/>
          <w:sz w:val="22"/>
        </w:rPr>
        <w:br/>
      </w:r>
      <w:r>
        <w:rPr>
          <w:rFonts w:ascii="Calibri" w:hAnsi="Calibri" w:cs="Calibri"/>
          <w:sz w:val="22"/>
        </w:rPr>
        <w:t>RASHODI POSLOVANJA</w:t>
      </w:r>
    </w:p>
    <w:p w14:paraId="4DCC95FB" w14:textId="77777777" w:rsidR="007C427E" w:rsidRDefault="00DC4F7D">
      <w:pPr>
        <w:spacing w:line="240" w:lineRule="auto"/>
        <w:jc w:val="both"/>
      </w:pPr>
      <w:r>
        <w:rPr>
          <w:rFonts w:ascii="Calibri" w:hAnsi="Calibri" w:cs="Calibri"/>
          <w:sz w:val="22"/>
        </w:rPr>
        <w:t xml:space="preserve">Ukupni rashodi poslovanja za 2025. godinu u Novom planu iznose 222.166.000 EUR i povećani su za 3.583.000 EUR što je rezultat povećanja </w:t>
      </w:r>
      <w:r>
        <w:rPr>
          <w:rFonts w:ascii="Calibri" w:hAnsi="Calibri" w:cs="Calibri"/>
          <w:i/>
          <w:sz w:val="22"/>
        </w:rPr>
        <w:t>Materijalnih rashoda </w:t>
      </w:r>
      <w:r>
        <w:rPr>
          <w:rFonts w:ascii="Calibri" w:hAnsi="Calibri" w:cs="Calibri"/>
          <w:sz w:val="22"/>
        </w:rPr>
        <w:t xml:space="preserve">za 1.603.000 EUR, </w:t>
      </w:r>
      <w:r>
        <w:rPr>
          <w:rFonts w:ascii="Calibri" w:hAnsi="Calibri" w:cs="Calibri"/>
          <w:i/>
          <w:sz w:val="22"/>
        </w:rPr>
        <w:t>Financijskih rashoda</w:t>
      </w:r>
      <w:r>
        <w:rPr>
          <w:rFonts w:ascii="Calibri" w:hAnsi="Calibri" w:cs="Calibri"/>
          <w:sz w:val="22"/>
        </w:rPr>
        <w:t xml:space="preserve"> za 1.660.000 EUR i </w:t>
      </w:r>
      <w:r>
        <w:rPr>
          <w:rFonts w:ascii="Calibri" w:hAnsi="Calibri" w:cs="Calibri"/>
          <w:i/>
          <w:sz w:val="22"/>
        </w:rPr>
        <w:t>Rashoda za donacije, kazne, naknade šteta i kapitalnih pomoći</w:t>
      </w:r>
      <w:r>
        <w:rPr>
          <w:rFonts w:ascii="Calibri" w:hAnsi="Calibri" w:cs="Calibri"/>
          <w:sz w:val="22"/>
        </w:rPr>
        <w:t xml:space="preserve"> za 320.000 EUR. </w:t>
      </w:r>
    </w:p>
    <w:p w14:paraId="3CA29CD2" w14:textId="6DB9578D" w:rsidR="007C427E" w:rsidRDefault="00DC4F7D">
      <w:pPr>
        <w:spacing w:line="240" w:lineRule="auto"/>
        <w:jc w:val="both"/>
      </w:pPr>
      <w:r>
        <w:rPr>
          <w:rFonts w:ascii="Calibri" w:hAnsi="Calibri" w:cs="Calibri"/>
          <w:sz w:val="22"/>
        </w:rPr>
        <w:t xml:space="preserve">Povećanje </w:t>
      </w:r>
      <w:r>
        <w:rPr>
          <w:rFonts w:ascii="Calibri" w:hAnsi="Calibri" w:cs="Calibri"/>
          <w:i/>
          <w:sz w:val="22"/>
        </w:rPr>
        <w:t>Materijalnih rashoda</w:t>
      </w:r>
      <w:r>
        <w:rPr>
          <w:rFonts w:ascii="Calibri" w:hAnsi="Calibri" w:cs="Calibri"/>
          <w:sz w:val="22"/>
        </w:rPr>
        <w:t xml:space="preserve"> najvećim dijelom odnosi se na povećanje pozicije </w:t>
      </w:r>
      <w:r>
        <w:rPr>
          <w:rFonts w:ascii="Calibri" w:hAnsi="Calibri" w:cs="Calibri"/>
          <w:i/>
          <w:sz w:val="22"/>
        </w:rPr>
        <w:t>Ostalih nespomenutih rashoda poslovanja</w:t>
      </w:r>
      <w:r>
        <w:rPr>
          <w:rFonts w:ascii="Calibri" w:hAnsi="Calibri" w:cs="Calibri"/>
          <w:sz w:val="22"/>
        </w:rPr>
        <w:t xml:space="preserve"> koji</w:t>
      </w:r>
      <w:r>
        <w:rPr>
          <w:rFonts w:ascii="Calibri" w:hAnsi="Calibri" w:cs="Calibri"/>
          <w:sz w:val="22"/>
        </w:rPr>
        <w:t xml:space="preserve"> se odnose na troškove sudskih postupaka temeljem pravomoćne sudske presude HŽ Putničkog prijevoza zbog pretrpljene štete nastale u izvanrednom događaju iskliznuća nagibnog vlaka u mjestu Rudine iz 2009. godine.</w:t>
      </w:r>
    </w:p>
    <w:p w14:paraId="4566E793" w14:textId="77777777" w:rsidR="007C427E" w:rsidRDefault="00DC4F7D">
      <w:pPr>
        <w:spacing w:line="240" w:lineRule="auto"/>
        <w:jc w:val="both"/>
      </w:pPr>
      <w:r>
        <w:rPr>
          <w:rFonts w:ascii="Calibri" w:hAnsi="Calibri" w:cs="Calibri"/>
          <w:sz w:val="22"/>
        </w:rPr>
        <w:t xml:space="preserve">Povećanje </w:t>
      </w:r>
      <w:r>
        <w:rPr>
          <w:rFonts w:ascii="Calibri" w:hAnsi="Calibri" w:cs="Calibri"/>
          <w:i/>
          <w:sz w:val="22"/>
        </w:rPr>
        <w:t xml:space="preserve">Financijskih rashoda </w:t>
      </w:r>
      <w:r>
        <w:rPr>
          <w:rFonts w:ascii="Calibri" w:hAnsi="Calibri" w:cs="Calibri"/>
          <w:sz w:val="22"/>
        </w:rPr>
        <w:t xml:space="preserve">gotovo u cijelosti posljedica je povećanja pozicije </w:t>
      </w:r>
      <w:r>
        <w:rPr>
          <w:rFonts w:ascii="Calibri" w:hAnsi="Calibri" w:cs="Calibri"/>
          <w:i/>
          <w:sz w:val="22"/>
        </w:rPr>
        <w:t>Ostalih financijskih rashoda </w:t>
      </w:r>
      <w:r>
        <w:rPr>
          <w:rFonts w:ascii="Calibri" w:hAnsi="Calibri" w:cs="Calibri"/>
          <w:sz w:val="22"/>
        </w:rPr>
        <w:t xml:space="preserve">u okviru koje se evidentiraju podmirene porezne obveze. </w:t>
      </w:r>
    </w:p>
    <w:p w14:paraId="17CED097" w14:textId="77777777" w:rsidR="007C427E" w:rsidRDefault="00DC4F7D">
      <w:pPr>
        <w:spacing w:line="240" w:lineRule="auto"/>
        <w:jc w:val="both"/>
      </w:pPr>
      <w:r>
        <w:rPr>
          <w:rFonts w:ascii="Calibri" w:hAnsi="Calibri" w:cs="Calibri"/>
          <w:sz w:val="22"/>
        </w:rPr>
        <w:lastRenderedPageBreak/>
        <w:t xml:space="preserve">Povećanje </w:t>
      </w:r>
      <w:r>
        <w:rPr>
          <w:rFonts w:ascii="Calibri" w:hAnsi="Calibri" w:cs="Calibri"/>
          <w:i/>
          <w:sz w:val="22"/>
        </w:rPr>
        <w:t>Rashoda za donacije, kazne, naknade šteta i kapitalnih pomoći</w:t>
      </w:r>
      <w:r>
        <w:rPr>
          <w:rFonts w:ascii="Calibri" w:hAnsi="Calibri" w:cs="Calibri"/>
          <w:sz w:val="22"/>
        </w:rPr>
        <w:t xml:space="preserve"> rezultat je povećanja pozicije </w:t>
      </w:r>
      <w:r>
        <w:rPr>
          <w:rFonts w:ascii="Calibri" w:hAnsi="Calibri" w:cs="Calibri"/>
          <w:i/>
          <w:sz w:val="22"/>
        </w:rPr>
        <w:t xml:space="preserve">Naknade šteta pravnim i fizičkim osobama </w:t>
      </w:r>
      <w:r>
        <w:rPr>
          <w:rFonts w:ascii="Calibri" w:hAnsi="Calibri" w:cs="Calibri"/>
          <w:sz w:val="22"/>
        </w:rPr>
        <w:t xml:space="preserve">koje se najvećim dijelom odnose na naknade štete fizičkim osobama nanesene na pružnom pojasu, a koje se isplaćuju po sudskim presudama. </w:t>
      </w:r>
    </w:p>
    <w:p w14:paraId="7424F0B1" w14:textId="77777777" w:rsidR="007C427E" w:rsidRDefault="00DC4F7D">
      <w:pPr>
        <w:spacing w:line="240" w:lineRule="auto"/>
        <w:jc w:val="both"/>
      </w:pPr>
      <w:r>
        <w:rPr>
          <w:rFonts w:ascii="Calibri" w:hAnsi="Calibri" w:cs="Calibri"/>
          <w:sz w:val="22"/>
        </w:rPr>
        <w:t xml:space="preserve">Struktura rashoda poslovanja ostala je na nivou Plana za 2025. godinu. Od ukupnih rashoda poslovanja, 67,4% odnosno 149.720.000 EUR odnosi se na </w:t>
      </w:r>
      <w:r>
        <w:rPr>
          <w:rFonts w:ascii="Calibri" w:hAnsi="Calibri" w:cs="Calibri"/>
          <w:i/>
          <w:sz w:val="22"/>
        </w:rPr>
        <w:t>Rashode za zaposlene</w:t>
      </w:r>
      <w:r>
        <w:rPr>
          <w:rFonts w:ascii="Calibri" w:hAnsi="Calibri" w:cs="Calibri"/>
          <w:sz w:val="22"/>
        </w:rPr>
        <w:t xml:space="preserve">, 30,5% ili 67.788.000 EUR na </w:t>
      </w:r>
      <w:r>
        <w:rPr>
          <w:rFonts w:ascii="Calibri" w:hAnsi="Calibri" w:cs="Calibri"/>
          <w:i/>
          <w:sz w:val="22"/>
        </w:rPr>
        <w:t>Materijalne rashode</w:t>
      </w:r>
      <w:r>
        <w:rPr>
          <w:rFonts w:ascii="Calibri" w:hAnsi="Calibri" w:cs="Calibri"/>
          <w:sz w:val="22"/>
        </w:rPr>
        <w:t xml:space="preserve">, te 1,7% ili 3.718.000 EUR na </w:t>
      </w:r>
      <w:r>
        <w:rPr>
          <w:rFonts w:ascii="Calibri" w:hAnsi="Calibri" w:cs="Calibri"/>
          <w:i/>
          <w:sz w:val="22"/>
        </w:rPr>
        <w:t>Financijske rashode</w:t>
      </w:r>
      <w:r>
        <w:rPr>
          <w:rFonts w:ascii="Calibri" w:hAnsi="Calibri" w:cs="Calibri"/>
          <w:sz w:val="22"/>
        </w:rPr>
        <w:t xml:space="preserve"> i na </w:t>
      </w:r>
      <w:r>
        <w:rPr>
          <w:rFonts w:ascii="Calibri" w:hAnsi="Calibri" w:cs="Calibri"/>
          <w:i/>
          <w:sz w:val="22"/>
        </w:rPr>
        <w:t>Rashode za donacije, kazne, naknade šteta i kapitalnih pomoći</w:t>
      </w:r>
      <w:r>
        <w:rPr>
          <w:rFonts w:ascii="Calibri" w:hAnsi="Calibri" w:cs="Calibri"/>
          <w:sz w:val="22"/>
        </w:rPr>
        <w:t xml:space="preserve"> koji iznose 940.000 EUR, a čine 0,4% ukupnih rashoda poslovanja.</w:t>
      </w:r>
    </w:p>
    <w:p w14:paraId="3D7E699A" w14:textId="77777777" w:rsidR="008E3907" w:rsidRDefault="00DC4F7D" w:rsidP="008E3907">
      <w:pPr>
        <w:spacing w:line="240" w:lineRule="auto"/>
        <w:rPr>
          <w:rFonts w:ascii="Calibri" w:hAnsi="Calibri" w:cs="Calibri"/>
          <w:sz w:val="22"/>
        </w:rPr>
      </w:pPr>
      <w:r>
        <w:rPr>
          <w:rFonts w:ascii="Calibri" w:hAnsi="Calibri" w:cs="Calibri"/>
          <w:sz w:val="22"/>
        </w:rPr>
        <w:br/>
      </w:r>
      <w:r>
        <w:rPr>
          <w:rFonts w:ascii="Calibri" w:hAnsi="Calibri" w:cs="Calibri"/>
          <w:sz w:val="22"/>
        </w:rPr>
        <w:br/>
      </w:r>
      <w:r>
        <w:rPr>
          <w:rFonts w:ascii="Calibri" w:hAnsi="Calibri" w:cs="Calibri"/>
          <w:sz w:val="22"/>
        </w:rPr>
        <w:t>RASHODI ZA NABAVU NEFINANCIJSKE IMOVINE</w:t>
      </w:r>
    </w:p>
    <w:p w14:paraId="5B2BD4A5" w14:textId="3C3A5C93" w:rsidR="007C427E" w:rsidRDefault="00DC4F7D" w:rsidP="008E3907">
      <w:pPr>
        <w:spacing w:line="240" w:lineRule="auto"/>
        <w:jc w:val="both"/>
      </w:pPr>
      <w:r>
        <w:rPr>
          <w:rFonts w:ascii="Calibri" w:hAnsi="Calibri" w:cs="Calibri"/>
          <w:sz w:val="22"/>
        </w:rPr>
        <w:t>Planirani rashodi za nabavu nefinancijske imovine za 2025. godinu u Novom planu povećani su za 10.812.969 EUR i iznose 323.741.000 EUR Predmetno povećanje rezultat je povećanja na programima investicijskih aktivnosti za projekte obnove modernizacije i izgradnje željezničke infrastrukture za 11.858.569 EUR uz istovremeno smanjenje investicija u imovinu HŽ Infrastrukture za 1.045.600 EUR.</w:t>
      </w:r>
    </w:p>
    <w:p w14:paraId="3B89AA97" w14:textId="77777777" w:rsidR="007C427E" w:rsidRDefault="00DC4F7D">
      <w:pPr>
        <w:spacing w:line="240" w:lineRule="auto"/>
        <w:jc w:val="both"/>
      </w:pPr>
      <w:r>
        <w:rPr>
          <w:rFonts w:ascii="Calibri" w:hAnsi="Calibri" w:cs="Calibri"/>
          <w:sz w:val="22"/>
        </w:rPr>
        <w:t>Povećanje planiranih rashoda vezanih za investicijski dio poslovanja HŽ Infrastrukture rezultat su sadašnje situacije i procjene realizacije planiranih aktivnosti obzirom na status postupaka javne nabave, posebno u vezi novih investicijskih projekata i nabave strateškog materijala.  </w:t>
      </w:r>
    </w:p>
    <w:p w14:paraId="2B6224DE" w14:textId="77777777" w:rsidR="007C427E" w:rsidRDefault="00DC4F7D">
      <w:pPr>
        <w:spacing w:line="240" w:lineRule="auto"/>
        <w:jc w:val="both"/>
      </w:pPr>
      <w:r>
        <w:rPr>
          <w:rFonts w:ascii="Calibri" w:hAnsi="Calibri" w:cs="Calibri"/>
          <w:sz w:val="22"/>
        </w:rPr>
        <w:t>U Novom planu za 2025. godinu projekcije rashoda za projekte obnove, modernizacije i izgradnje željezničke infrastrukture po programima investicijskih aktivnosti su kako slijedi:</w:t>
      </w:r>
    </w:p>
    <w:p w14:paraId="6F2D3375" w14:textId="77777777" w:rsidR="007C427E" w:rsidRDefault="00DC4F7D">
      <w:pPr>
        <w:spacing w:line="240" w:lineRule="auto"/>
        <w:ind w:left="142" w:right="-2" w:hanging="142"/>
        <w:jc w:val="both"/>
      </w:pPr>
      <w:r>
        <w:rPr>
          <w:rFonts w:ascii="Calibri" w:hAnsi="Calibri" w:cs="Calibri"/>
          <w:sz w:val="22"/>
        </w:rPr>
        <w:t>▪</w:t>
      </w:r>
      <w:r>
        <w:rPr>
          <w:rFonts w:ascii="Calibri" w:hAnsi="Calibri" w:cs="Calibri"/>
          <w:sz w:val="22"/>
        </w:rPr>
        <w:t xml:space="preserve"> Projekti iz programa obnove i modernizacije pruga za međunarodni promet iznose 85.908.500 EUR</w:t>
      </w:r>
    </w:p>
    <w:p w14:paraId="341C1567" w14:textId="77777777" w:rsidR="007C427E" w:rsidRDefault="00DC4F7D">
      <w:pPr>
        <w:spacing w:line="240" w:lineRule="auto"/>
        <w:ind w:left="142" w:right="-2" w:hanging="142"/>
        <w:jc w:val="both"/>
      </w:pPr>
      <w:r>
        <w:rPr>
          <w:rFonts w:ascii="Calibri" w:hAnsi="Calibri" w:cs="Calibri"/>
          <w:sz w:val="22"/>
        </w:rPr>
        <w:t>▪</w:t>
      </w:r>
      <w:r>
        <w:rPr>
          <w:rFonts w:ascii="Calibri" w:hAnsi="Calibri" w:cs="Calibri"/>
          <w:sz w:val="22"/>
        </w:rPr>
        <w:t xml:space="preserve"> Projekti iz programa obnove i modernizacije pruga za regionalni promet iznose 55.364.000 EUR</w:t>
      </w:r>
    </w:p>
    <w:p w14:paraId="346DDAAC" w14:textId="77777777" w:rsidR="007C427E" w:rsidRDefault="00DC4F7D">
      <w:pPr>
        <w:spacing w:line="240" w:lineRule="auto"/>
        <w:ind w:left="142" w:right="-2" w:hanging="142"/>
        <w:jc w:val="both"/>
      </w:pPr>
      <w:r>
        <w:rPr>
          <w:rFonts w:ascii="Calibri" w:hAnsi="Calibri" w:cs="Calibri"/>
          <w:sz w:val="22"/>
        </w:rPr>
        <w:t>▪</w:t>
      </w:r>
      <w:r>
        <w:rPr>
          <w:rFonts w:ascii="Calibri" w:hAnsi="Calibri" w:cs="Calibri"/>
          <w:sz w:val="22"/>
        </w:rPr>
        <w:t xml:space="preserve"> Projekti iz programa obnove i modernizacije pruga za lokalni promet iznose 28.776.500 EUR</w:t>
      </w:r>
    </w:p>
    <w:p w14:paraId="756AD28C" w14:textId="77777777" w:rsidR="007C427E" w:rsidRDefault="00DC4F7D">
      <w:pPr>
        <w:spacing w:line="240" w:lineRule="auto"/>
        <w:ind w:left="142" w:right="-2" w:hanging="142"/>
        <w:jc w:val="both"/>
      </w:pPr>
      <w:r>
        <w:rPr>
          <w:rFonts w:ascii="Calibri" w:hAnsi="Calibri" w:cs="Calibri"/>
          <w:sz w:val="22"/>
        </w:rPr>
        <w:t>▪</w:t>
      </w:r>
      <w:r>
        <w:rPr>
          <w:rFonts w:ascii="Calibri" w:hAnsi="Calibri" w:cs="Calibri"/>
          <w:sz w:val="22"/>
        </w:rPr>
        <w:t xml:space="preserve"> Program obnove i modernizacije željezničkog čvorišta Zagreba iznosi 13.926.300 EUR</w:t>
      </w:r>
    </w:p>
    <w:p w14:paraId="1E1C2B70" w14:textId="77777777" w:rsidR="007C427E" w:rsidRDefault="00DC4F7D">
      <w:pPr>
        <w:spacing w:line="240" w:lineRule="auto"/>
        <w:ind w:left="142" w:right="-2" w:hanging="142"/>
        <w:jc w:val="both"/>
      </w:pPr>
      <w:r>
        <w:rPr>
          <w:rFonts w:ascii="Calibri" w:hAnsi="Calibri" w:cs="Calibri"/>
          <w:sz w:val="22"/>
        </w:rPr>
        <w:t>▪</w:t>
      </w:r>
      <w:r>
        <w:rPr>
          <w:rFonts w:ascii="Calibri" w:hAnsi="Calibri" w:cs="Calibri"/>
          <w:sz w:val="22"/>
        </w:rPr>
        <w:t xml:space="preserve"> Program aktivnosti u funkciji infrastrukture i prometa na mreži kao cjeline iznosi 22.297.000 EUR</w:t>
      </w:r>
    </w:p>
    <w:p w14:paraId="39BB34CA" w14:textId="77777777" w:rsidR="007C427E" w:rsidRDefault="00DC4F7D">
      <w:pPr>
        <w:spacing w:line="240" w:lineRule="auto"/>
        <w:ind w:left="142" w:right="-2" w:hanging="142"/>
        <w:jc w:val="both"/>
      </w:pPr>
      <w:r>
        <w:rPr>
          <w:rFonts w:ascii="Calibri" w:hAnsi="Calibri" w:cs="Calibri"/>
          <w:sz w:val="22"/>
        </w:rPr>
        <w:t>▪</w:t>
      </w:r>
      <w:r>
        <w:rPr>
          <w:rFonts w:ascii="Calibri" w:hAnsi="Calibri" w:cs="Calibri"/>
          <w:sz w:val="22"/>
        </w:rPr>
        <w:t xml:space="preserve"> Izgradnja novih pruga i kolosijeka iznosi 106.567.300 EUR.</w:t>
      </w:r>
    </w:p>
    <w:p w14:paraId="5DE4FFB3" w14:textId="77777777" w:rsidR="007C427E" w:rsidRDefault="00DC4F7D">
      <w:pPr>
        <w:spacing w:line="240" w:lineRule="auto"/>
      </w:pPr>
      <w:r>
        <w:rPr>
          <w:rFonts w:ascii="Calibri" w:hAnsi="Calibri" w:cs="Calibri"/>
          <w:b/>
          <w:sz w:val="22"/>
          <w:u w:val="single"/>
        </w:rPr>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11"/>
        <w:gridCol w:w="1604"/>
        <w:gridCol w:w="1604"/>
        <w:gridCol w:w="1604"/>
        <w:gridCol w:w="803"/>
      </w:tblGrid>
      <w:tr w:rsidR="007C427E" w14:paraId="699C618D" w14:textId="77777777">
        <w:tc>
          <w:tcPr>
            <w:tcW w:w="2000" w:type="pct"/>
            <w:shd w:val="clear" w:color="auto" w:fill="BCDFFB"/>
            <w:vAlign w:val="center"/>
          </w:tcPr>
          <w:p w14:paraId="35325975" w14:textId="77777777" w:rsidR="007C427E" w:rsidRDefault="007C427E">
            <w:pPr>
              <w:spacing w:after="0" w:line="240" w:lineRule="auto"/>
              <w:jc w:val="center"/>
            </w:pPr>
          </w:p>
        </w:tc>
        <w:tc>
          <w:tcPr>
            <w:tcW w:w="800" w:type="pct"/>
            <w:shd w:val="clear" w:color="auto" w:fill="BCDFFB"/>
            <w:vAlign w:val="center"/>
          </w:tcPr>
          <w:p w14:paraId="679EB8C4" w14:textId="77777777" w:rsidR="007C427E" w:rsidRDefault="00DC4F7D">
            <w:pPr>
              <w:spacing w:after="0" w:line="240" w:lineRule="auto"/>
              <w:jc w:val="center"/>
            </w:pPr>
            <w:r>
              <w:rPr>
                <w:rFonts w:ascii="Calibri" w:hAnsi="Calibri" w:cs="Calibri"/>
                <w:b/>
                <w:sz w:val="18"/>
              </w:rPr>
              <w:t>Plan za 2025.</w:t>
            </w:r>
          </w:p>
        </w:tc>
        <w:tc>
          <w:tcPr>
            <w:tcW w:w="800" w:type="pct"/>
            <w:shd w:val="clear" w:color="auto" w:fill="BCDFFB"/>
            <w:vAlign w:val="center"/>
          </w:tcPr>
          <w:p w14:paraId="4F231A2F" w14:textId="77777777" w:rsidR="007C427E" w:rsidRDefault="00DC4F7D">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10B054E5" w14:textId="77777777" w:rsidR="007C427E" w:rsidRDefault="00DC4F7D">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57B5842C" w14:textId="77777777" w:rsidR="007C427E" w:rsidRDefault="00DC4F7D">
            <w:pPr>
              <w:spacing w:after="0" w:line="240" w:lineRule="auto"/>
              <w:jc w:val="center"/>
            </w:pPr>
            <w:r>
              <w:rPr>
                <w:rFonts w:ascii="Calibri" w:hAnsi="Calibri" w:cs="Calibri"/>
                <w:b/>
                <w:sz w:val="18"/>
              </w:rPr>
              <w:t>Indeks</w:t>
            </w:r>
          </w:p>
        </w:tc>
      </w:tr>
      <w:tr w:rsidR="007C427E" w14:paraId="31D4A10C" w14:textId="77777777">
        <w:tc>
          <w:tcPr>
            <w:tcW w:w="2000" w:type="pct"/>
            <w:vAlign w:val="bottom"/>
          </w:tcPr>
          <w:p w14:paraId="2F5748B2" w14:textId="77777777" w:rsidR="007C427E" w:rsidRDefault="00DC4F7D">
            <w:pPr>
              <w:spacing w:after="0" w:line="240" w:lineRule="auto"/>
            </w:pPr>
            <w:r>
              <w:rPr>
                <w:rFonts w:ascii="Calibri" w:hAnsi="Calibri" w:cs="Calibri"/>
                <w:sz w:val="18"/>
              </w:rPr>
              <w:t>UKUPNI PRIHODI</w:t>
            </w:r>
          </w:p>
        </w:tc>
        <w:tc>
          <w:tcPr>
            <w:tcW w:w="800" w:type="pct"/>
            <w:vAlign w:val="bottom"/>
          </w:tcPr>
          <w:p w14:paraId="428CB2C6" w14:textId="77777777" w:rsidR="007C427E" w:rsidRDefault="00DC4F7D">
            <w:pPr>
              <w:spacing w:after="0" w:line="240" w:lineRule="auto"/>
              <w:jc w:val="right"/>
            </w:pPr>
            <w:r>
              <w:rPr>
                <w:rFonts w:ascii="Calibri" w:hAnsi="Calibri" w:cs="Calibri"/>
                <w:sz w:val="18"/>
              </w:rPr>
              <w:t>489.464.400</w:t>
            </w:r>
          </w:p>
        </w:tc>
        <w:tc>
          <w:tcPr>
            <w:tcW w:w="800" w:type="pct"/>
            <w:vAlign w:val="bottom"/>
          </w:tcPr>
          <w:p w14:paraId="2AB3352A" w14:textId="77777777" w:rsidR="007C427E" w:rsidRDefault="00DC4F7D">
            <w:pPr>
              <w:spacing w:after="0" w:line="240" w:lineRule="auto"/>
              <w:jc w:val="right"/>
            </w:pPr>
            <w:r>
              <w:rPr>
                <w:rFonts w:ascii="Calibri" w:hAnsi="Calibri" w:cs="Calibri"/>
                <w:sz w:val="18"/>
              </w:rPr>
              <w:t>66.097.368</w:t>
            </w:r>
          </w:p>
        </w:tc>
        <w:tc>
          <w:tcPr>
            <w:tcW w:w="800" w:type="pct"/>
            <w:vAlign w:val="bottom"/>
          </w:tcPr>
          <w:p w14:paraId="380B60ED" w14:textId="77777777" w:rsidR="007C427E" w:rsidRDefault="00DC4F7D">
            <w:pPr>
              <w:spacing w:after="0" w:line="240" w:lineRule="auto"/>
              <w:jc w:val="right"/>
            </w:pPr>
            <w:r>
              <w:rPr>
                <w:rFonts w:ascii="Calibri" w:hAnsi="Calibri" w:cs="Calibri"/>
                <w:sz w:val="18"/>
              </w:rPr>
              <w:t>555.561.768</w:t>
            </w:r>
          </w:p>
        </w:tc>
        <w:tc>
          <w:tcPr>
            <w:tcW w:w="400" w:type="pct"/>
            <w:vAlign w:val="bottom"/>
          </w:tcPr>
          <w:p w14:paraId="279247AE" w14:textId="77777777" w:rsidR="007C427E" w:rsidRDefault="00DC4F7D">
            <w:pPr>
              <w:spacing w:after="0" w:line="240" w:lineRule="auto"/>
              <w:jc w:val="right"/>
            </w:pPr>
            <w:r>
              <w:rPr>
                <w:rFonts w:ascii="Calibri" w:hAnsi="Calibri" w:cs="Calibri"/>
                <w:sz w:val="18"/>
              </w:rPr>
              <w:t>113,5</w:t>
            </w:r>
          </w:p>
        </w:tc>
      </w:tr>
      <w:tr w:rsidR="007C427E" w14:paraId="40022219" w14:textId="77777777">
        <w:tc>
          <w:tcPr>
            <w:tcW w:w="2000" w:type="pct"/>
            <w:vAlign w:val="bottom"/>
          </w:tcPr>
          <w:p w14:paraId="45332419" w14:textId="77777777" w:rsidR="007C427E" w:rsidRDefault="00DC4F7D">
            <w:pPr>
              <w:spacing w:after="0" w:line="240" w:lineRule="auto"/>
            </w:pPr>
            <w:r>
              <w:rPr>
                <w:rFonts w:ascii="Calibri" w:hAnsi="Calibri" w:cs="Calibri"/>
                <w:sz w:val="18"/>
              </w:rPr>
              <w:t>UKUPNI RASHODI</w:t>
            </w:r>
          </w:p>
        </w:tc>
        <w:tc>
          <w:tcPr>
            <w:tcW w:w="800" w:type="pct"/>
            <w:vAlign w:val="bottom"/>
          </w:tcPr>
          <w:p w14:paraId="55FCABA5" w14:textId="77777777" w:rsidR="007C427E" w:rsidRDefault="00DC4F7D">
            <w:pPr>
              <w:spacing w:after="0" w:line="240" w:lineRule="auto"/>
              <w:jc w:val="right"/>
            </w:pPr>
            <w:r>
              <w:rPr>
                <w:rFonts w:ascii="Calibri" w:hAnsi="Calibri" w:cs="Calibri"/>
                <w:sz w:val="18"/>
              </w:rPr>
              <w:t>531.511.031</w:t>
            </w:r>
          </w:p>
        </w:tc>
        <w:tc>
          <w:tcPr>
            <w:tcW w:w="800" w:type="pct"/>
            <w:vAlign w:val="bottom"/>
          </w:tcPr>
          <w:p w14:paraId="5951CD9B" w14:textId="77777777" w:rsidR="007C427E" w:rsidRDefault="00DC4F7D">
            <w:pPr>
              <w:spacing w:after="0" w:line="240" w:lineRule="auto"/>
              <w:jc w:val="right"/>
            </w:pPr>
            <w:r>
              <w:rPr>
                <w:rFonts w:ascii="Calibri" w:hAnsi="Calibri" w:cs="Calibri"/>
                <w:sz w:val="18"/>
              </w:rPr>
              <w:t>14.395.969</w:t>
            </w:r>
          </w:p>
        </w:tc>
        <w:tc>
          <w:tcPr>
            <w:tcW w:w="800" w:type="pct"/>
            <w:vAlign w:val="bottom"/>
          </w:tcPr>
          <w:p w14:paraId="32498608" w14:textId="77777777" w:rsidR="007C427E" w:rsidRDefault="00DC4F7D">
            <w:pPr>
              <w:spacing w:after="0" w:line="240" w:lineRule="auto"/>
              <w:jc w:val="right"/>
            </w:pPr>
            <w:r>
              <w:rPr>
                <w:rFonts w:ascii="Calibri" w:hAnsi="Calibri" w:cs="Calibri"/>
                <w:sz w:val="18"/>
              </w:rPr>
              <w:t>545.907.000</w:t>
            </w:r>
          </w:p>
        </w:tc>
        <w:tc>
          <w:tcPr>
            <w:tcW w:w="400" w:type="pct"/>
            <w:vAlign w:val="bottom"/>
          </w:tcPr>
          <w:p w14:paraId="49A7A8C3" w14:textId="77777777" w:rsidR="007C427E" w:rsidRDefault="00DC4F7D">
            <w:pPr>
              <w:spacing w:after="0" w:line="240" w:lineRule="auto"/>
              <w:jc w:val="right"/>
            </w:pPr>
            <w:r>
              <w:rPr>
                <w:rFonts w:ascii="Calibri" w:hAnsi="Calibri" w:cs="Calibri"/>
                <w:sz w:val="18"/>
              </w:rPr>
              <w:t>102,7</w:t>
            </w:r>
          </w:p>
        </w:tc>
      </w:tr>
      <w:tr w:rsidR="007C427E" w14:paraId="3F215288" w14:textId="77777777">
        <w:tc>
          <w:tcPr>
            <w:tcW w:w="2000" w:type="pct"/>
            <w:vAlign w:val="bottom"/>
          </w:tcPr>
          <w:p w14:paraId="2CE2EA15" w14:textId="77777777" w:rsidR="007C427E" w:rsidRDefault="00DC4F7D">
            <w:pPr>
              <w:spacing w:after="0" w:line="240" w:lineRule="auto"/>
            </w:pPr>
            <w:r>
              <w:rPr>
                <w:rFonts w:ascii="Calibri" w:hAnsi="Calibri" w:cs="Calibri"/>
                <w:b/>
                <w:sz w:val="18"/>
              </w:rPr>
              <w:t>RAZLIKA - VIŠAK/MANJAK</w:t>
            </w:r>
          </w:p>
        </w:tc>
        <w:tc>
          <w:tcPr>
            <w:tcW w:w="800" w:type="pct"/>
            <w:vAlign w:val="bottom"/>
          </w:tcPr>
          <w:p w14:paraId="183AE8AB" w14:textId="77777777" w:rsidR="007C427E" w:rsidRDefault="00DC4F7D">
            <w:pPr>
              <w:spacing w:after="0" w:line="240" w:lineRule="auto"/>
              <w:jc w:val="right"/>
            </w:pPr>
            <w:r>
              <w:rPr>
                <w:rFonts w:ascii="Calibri" w:hAnsi="Calibri" w:cs="Calibri"/>
                <w:b/>
                <w:sz w:val="18"/>
              </w:rPr>
              <w:t>-42.046.631</w:t>
            </w:r>
          </w:p>
        </w:tc>
        <w:tc>
          <w:tcPr>
            <w:tcW w:w="800" w:type="pct"/>
            <w:vAlign w:val="bottom"/>
          </w:tcPr>
          <w:p w14:paraId="26FCB513" w14:textId="77777777" w:rsidR="007C427E" w:rsidRDefault="00DC4F7D">
            <w:pPr>
              <w:spacing w:after="0" w:line="240" w:lineRule="auto"/>
              <w:jc w:val="right"/>
            </w:pPr>
            <w:r>
              <w:rPr>
                <w:rFonts w:ascii="Calibri" w:hAnsi="Calibri" w:cs="Calibri"/>
                <w:b/>
                <w:sz w:val="18"/>
              </w:rPr>
              <w:t>51.701.399</w:t>
            </w:r>
          </w:p>
        </w:tc>
        <w:tc>
          <w:tcPr>
            <w:tcW w:w="800" w:type="pct"/>
            <w:vAlign w:val="bottom"/>
          </w:tcPr>
          <w:p w14:paraId="47BB6248" w14:textId="77777777" w:rsidR="007C427E" w:rsidRDefault="00DC4F7D">
            <w:pPr>
              <w:spacing w:after="0" w:line="240" w:lineRule="auto"/>
              <w:jc w:val="right"/>
            </w:pPr>
            <w:r>
              <w:rPr>
                <w:rFonts w:ascii="Calibri" w:hAnsi="Calibri" w:cs="Calibri"/>
                <w:b/>
                <w:sz w:val="18"/>
              </w:rPr>
              <w:t>9.654.768</w:t>
            </w:r>
          </w:p>
        </w:tc>
        <w:tc>
          <w:tcPr>
            <w:tcW w:w="400" w:type="pct"/>
            <w:vAlign w:val="bottom"/>
          </w:tcPr>
          <w:p w14:paraId="7AB64FD3" w14:textId="77777777" w:rsidR="007C427E" w:rsidRDefault="00DC4F7D">
            <w:pPr>
              <w:spacing w:after="0" w:line="240" w:lineRule="auto"/>
              <w:jc w:val="right"/>
            </w:pPr>
            <w:r>
              <w:rPr>
                <w:rFonts w:ascii="Calibri" w:hAnsi="Calibri" w:cs="Calibri"/>
                <w:b/>
                <w:sz w:val="18"/>
              </w:rPr>
              <w:t>-23,0</w:t>
            </w:r>
          </w:p>
        </w:tc>
      </w:tr>
    </w:tbl>
    <w:p w14:paraId="7C67EF10" w14:textId="77777777" w:rsidR="007C427E" w:rsidRDefault="007C427E">
      <w:pPr>
        <w:spacing w:after="0" w:line="240" w:lineRule="auto"/>
      </w:pPr>
    </w:p>
    <w:p w14:paraId="3A4B39D7" w14:textId="77777777" w:rsidR="007C427E" w:rsidRDefault="00DC4F7D">
      <w:pPr>
        <w:spacing w:line="240" w:lineRule="auto"/>
        <w:jc w:val="both"/>
      </w:pPr>
      <w:r>
        <w:rPr>
          <w:rFonts w:ascii="Calibri" w:hAnsi="Calibri" w:cs="Calibri"/>
          <w:sz w:val="22"/>
        </w:rPr>
        <w:t>Ukupan višak u Novom planu za 2025. iznosi 9.654.768 EUR što je najvećim dijelom rezultat povećanja prihoda iz Državnog proračuna za financiranje ulaganja u imovinu javnog dobra Republike Hrvatske. </w:t>
      </w:r>
    </w:p>
    <w:p w14:paraId="72F6BED9" w14:textId="77777777" w:rsidR="007C427E" w:rsidRDefault="00DC4F7D">
      <w:pPr>
        <w:spacing w:line="240" w:lineRule="auto"/>
      </w:pPr>
      <w:r>
        <w:rPr>
          <w:rFonts w:ascii="Calibri" w:hAnsi="Calibri" w:cs="Calibri"/>
          <w:b/>
          <w:sz w:val="22"/>
          <w:u w:val="single"/>
        </w:rPr>
        <w:br/>
      </w:r>
      <w:r>
        <w:rPr>
          <w:rFonts w:ascii="Calibri" w:hAnsi="Calibri" w:cs="Calibri"/>
          <w:b/>
          <w:sz w:val="22"/>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11"/>
        <w:gridCol w:w="1604"/>
        <w:gridCol w:w="1604"/>
        <w:gridCol w:w="1604"/>
        <w:gridCol w:w="803"/>
      </w:tblGrid>
      <w:tr w:rsidR="007C427E" w14:paraId="2D5E6E08" w14:textId="77777777">
        <w:tc>
          <w:tcPr>
            <w:tcW w:w="2000" w:type="pct"/>
            <w:shd w:val="clear" w:color="auto" w:fill="BCDFFB"/>
            <w:vAlign w:val="center"/>
          </w:tcPr>
          <w:p w14:paraId="7F04918D" w14:textId="77777777" w:rsidR="007C427E" w:rsidRDefault="007C427E">
            <w:pPr>
              <w:spacing w:after="0" w:line="240" w:lineRule="auto"/>
              <w:jc w:val="center"/>
            </w:pPr>
          </w:p>
        </w:tc>
        <w:tc>
          <w:tcPr>
            <w:tcW w:w="800" w:type="pct"/>
            <w:shd w:val="clear" w:color="auto" w:fill="BCDFFB"/>
            <w:vAlign w:val="center"/>
          </w:tcPr>
          <w:p w14:paraId="6D50BED6" w14:textId="77777777" w:rsidR="007C427E" w:rsidRDefault="00DC4F7D">
            <w:pPr>
              <w:spacing w:after="0" w:line="240" w:lineRule="auto"/>
              <w:jc w:val="center"/>
            </w:pPr>
            <w:r>
              <w:rPr>
                <w:rFonts w:ascii="Calibri" w:hAnsi="Calibri" w:cs="Calibri"/>
                <w:b/>
                <w:sz w:val="18"/>
              </w:rPr>
              <w:t>Plan za 2025.</w:t>
            </w:r>
          </w:p>
        </w:tc>
        <w:tc>
          <w:tcPr>
            <w:tcW w:w="800" w:type="pct"/>
            <w:shd w:val="clear" w:color="auto" w:fill="BCDFFB"/>
            <w:vAlign w:val="center"/>
          </w:tcPr>
          <w:p w14:paraId="4DB6183E" w14:textId="77777777" w:rsidR="007C427E" w:rsidRDefault="00DC4F7D">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5DCCF024" w14:textId="77777777" w:rsidR="007C427E" w:rsidRDefault="00DC4F7D">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1A258B51" w14:textId="77777777" w:rsidR="007C427E" w:rsidRDefault="00DC4F7D">
            <w:pPr>
              <w:spacing w:after="0" w:line="240" w:lineRule="auto"/>
              <w:jc w:val="center"/>
            </w:pPr>
            <w:r>
              <w:rPr>
                <w:rFonts w:ascii="Calibri" w:hAnsi="Calibri" w:cs="Calibri"/>
                <w:b/>
                <w:sz w:val="18"/>
              </w:rPr>
              <w:t>Indeks</w:t>
            </w:r>
          </w:p>
        </w:tc>
      </w:tr>
      <w:tr w:rsidR="007C427E" w14:paraId="44F1CD8A" w14:textId="77777777">
        <w:tc>
          <w:tcPr>
            <w:tcW w:w="2000" w:type="pct"/>
            <w:vAlign w:val="bottom"/>
          </w:tcPr>
          <w:p w14:paraId="1AAFE6F3" w14:textId="77777777" w:rsidR="007C427E" w:rsidRDefault="00DC4F7D">
            <w:pPr>
              <w:spacing w:after="0" w:line="240" w:lineRule="auto"/>
            </w:pPr>
            <w:r>
              <w:rPr>
                <w:rFonts w:ascii="Calibri" w:hAnsi="Calibri" w:cs="Calibri"/>
                <w:sz w:val="18"/>
              </w:rPr>
              <w:t>PRIMICI OD FINANCIJSKE IMOVINE I ZADUŽIVANJA</w:t>
            </w:r>
          </w:p>
        </w:tc>
        <w:tc>
          <w:tcPr>
            <w:tcW w:w="800" w:type="pct"/>
            <w:vAlign w:val="bottom"/>
          </w:tcPr>
          <w:p w14:paraId="693BBB09" w14:textId="77777777" w:rsidR="007C427E" w:rsidRDefault="00DC4F7D">
            <w:pPr>
              <w:spacing w:after="0" w:line="240" w:lineRule="auto"/>
              <w:jc w:val="right"/>
            </w:pPr>
            <w:r>
              <w:rPr>
                <w:rFonts w:ascii="Calibri" w:hAnsi="Calibri" w:cs="Calibri"/>
                <w:sz w:val="18"/>
              </w:rPr>
              <w:t>30.000.000</w:t>
            </w:r>
          </w:p>
        </w:tc>
        <w:tc>
          <w:tcPr>
            <w:tcW w:w="800" w:type="pct"/>
            <w:vAlign w:val="bottom"/>
          </w:tcPr>
          <w:p w14:paraId="33834267" w14:textId="77777777" w:rsidR="007C427E" w:rsidRDefault="00DC4F7D">
            <w:pPr>
              <w:spacing w:after="0" w:line="240" w:lineRule="auto"/>
              <w:jc w:val="right"/>
            </w:pPr>
            <w:r>
              <w:rPr>
                <w:rFonts w:ascii="Calibri" w:hAnsi="Calibri" w:cs="Calibri"/>
                <w:sz w:val="18"/>
              </w:rPr>
              <w:t>25.000.000</w:t>
            </w:r>
          </w:p>
        </w:tc>
        <w:tc>
          <w:tcPr>
            <w:tcW w:w="800" w:type="pct"/>
            <w:vAlign w:val="bottom"/>
          </w:tcPr>
          <w:p w14:paraId="4D97461B" w14:textId="77777777" w:rsidR="007C427E" w:rsidRDefault="00DC4F7D">
            <w:pPr>
              <w:spacing w:after="0" w:line="240" w:lineRule="auto"/>
              <w:jc w:val="right"/>
            </w:pPr>
            <w:r>
              <w:rPr>
                <w:rFonts w:ascii="Calibri" w:hAnsi="Calibri" w:cs="Calibri"/>
                <w:sz w:val="18"/>
              </w:rPr>
              <w:t>55.000.000</w:t>
            </w:r>
          </w:p>
        </w:tc>
        <w:tc>
          <w:tcPr>
            <w:tcW w:w="400" w:type="pct"/>
            <w:vAlign w:val="bottom"/>
          </w:tcPr>
          <w:p w14:paraId="3F6947BC" w14:textId="77777777" w:rsidR="007C427E" w:rsidRDefault="00DC4F7D">
            <w:pPr>
              <w:spacing w:after="0" w:line="240" w:lineRule="auto"/>
              <w:jc w:val="right"/>
            </w:pPr>
            <w:r>
              <w:rPr>
                <w:rFonts w:ascii="Calibri" w:hAnsi="Calibri" w:cs="Calibri"/>
                <w:sz w:val="18"/>
              </w:rPr>
              <w:t>183,3</w:t>
            </w:r>
          </w:p>
        </w:tc>
      </w:tr>
      <w:tr w:rsidR="007C427E" w14:paraId="58AABD32" w14:textId="77777777">
        <w:tc>
          <w:tcPr>
            <w:tcW w:w="2000" w:type="pct"/>
            <w:vAlign w:val="bottom"/>
          </w:tcPr>
          <w:p w14:paraId="0B670399" w14:textId="77777777" w:rsidR="007C427E" w:rsidRDefault="00DC4F7D">
            <w:pPr>
              <w:spacing w:after="0" w:line="240" w:lineRule="auto"/>
            </w:pPr>
            <w:r>
              <w:rPr>
                <w:rFonts w:ascii="Calibri" w:hAnsi="Calibri" w:cs="Calibri"/>
                <w:sz w:val="18"/>
              </w:rPr>
              <w:t>IZDACI ZA FINANCIJSKU IMOVINU I OTPLATE ZAJMOVA</w:t>
            </w:r>
          </w:p>
        </w:tc>
        <w:tc>
          <w:tcPr>
            <w:tcW w:w="800" w:type="pct"/>
            <w:vAlign w:val="bottom"/>
          </w:tcPr>
          <w:p w14:paraId="0A01BD9B" w14:textId="77777777" w:rsidR="007C427E" w:rsidRDefault="00DC4F7D">
            <w:pPr>
              <w:spacing w:after="0" w:line="240" w:lineRule="auto"/>
              <w:jc w:val="right"/>
            </w:pPr>
            <w:r>
              <w:rPr>
                <w:rFonts w:ascii="Calibri" w:hAnsi="Calibri" w:cs="Calibri"/>
                <w:sz w:val="18"/>
              </w:rPr>
              <w:t>63.115.000</w:t>
            </w:r>
          </w:p>
        </w:tc>
        <w:tc>
          <w:tcPr>
            <w:tcW w:w="800" w:type="pct"/>
            <w:vAlign w:val="bottom"/>
          </w:tcPr>
          <w:p w14:paraId="7FD39F8C" w14:textId="77777777" w:rsidR="007C427E" w:rsidRDefault="00DC4F7D">
            <w:pPr>
              <w:spacing w:after="0" w:line="240" w:lineRule="auto"/>
              <w:jc w:val="right"/>
            </w:pPr>
            <w:r>
              <w:rPr>
                <w:rFonts w:ascii="Calibri" w:hAnsi="Calibri" w:cs="Calibri"/>
                <w:sz w:val="18"/>
              </w:rPr>
              <w:t>3.204.520</w:t>
            </w:r>
          </w:p>
        </w:tc>
        <w:tc>
          <w:tcPr>
            <w:tcW w:w="800" w:type="pct"/>
            <w:vAlign w:val="bottom"/>
          </w:tcPr>
          <w:p w14:paraId="749CBF8F" w14:textId="77777777" w:rsidR="007C427E" w:rsidRDefault="00DC4F7D">
            <w:pPr>
              <w:spacing w:after="0" w:line="240" w:lineRule="auto"/>
              <w:jc w:val="right"/>
            </w:pPr>
            <w:r>
              <w:rPr>
                <w:rFonts w:ascii="Calibri" w:hAnsi="Calibri" w:cs="Calibri"/>
                <w:sz w:val="18"/>
              </w:rPr>
              <w:t>66.319.520</w:t>
            </w:r>
          </w:p>
        </w:tc>
        <w:tc>
          <w:tcPr>
            <w:tcW w:w="400" w:type="pct"/>
            <w:vAlign w:val="bottom"/>
          </w:tcPr>
          <w:p w14:paraId="3C6DBAF9" w14:textId="77777777" w:rsidR="007C427E" w:rsidRDefault="00DC4F7D">
            <w:pPr>
              <w:spacing w:after="0" w:line="240" w:lineRule="auto"/>
              <w:jc w:val="right"/>
            </w:pPr>
            <w:r>
              <w:rPr>
                <w:rFonts w:ascii="Calibri" w:hAnsi="Calibri" w:cs="Calibri"/>
                <w:sz w:val="18"/>
              </w:rPr>
              <w:t>105,1</w:t>
            </w:r>
          </w:p>
        </w:tc>
      </w:tr>
      <w:tr w:rsidR="007C427E" w14:paraId="35F22D86" w14:textId="77777777">
        <w:tc>
          <w:tcPr>
            <w:tcW w:w="2000" w:type="pct"/>
            <w:vAlign w:val="bottom"/>
          </w:tcPr>
          <w:p w14:paraId="2928FFBB" w14:textId="77777777" w:rsidR="007C427E" w:rsidRDefault="00DC4F7D">
            <w:pPr>
              <w:spacing w:after="0" w:line="240" w:lineRule="auto"/>
            </w:pPr>
            <w:r>
              <w:rPr>
                <w:rFonts w:ascii="Calibri" w:hAnsi="Calibri" w:cs="Calibri"/>
                <w:sz w:val="18"/>
              </w:rPr>
              <w:lastRenderedPageBreak/>
              <w:t>RAZLIKA PRIMITAKA I IZDATAKA</w:t>
            </w:r>
          </w:p>
        </w:tc>
        <w:tc>
          <w:tcPr>
            <w:tcW w:w="800" w:type="pct"/>
            <w:vAlign w:val="bottom"/>
          </w:tcPr>
          <w:p w14:paraId="24E7773C" w14:textId="77777777" w:rsidR="007C427E" w:rsidRDefault="00DC4F7D">
            <w:pPr>
              <w:spacing w:after="0" w:line="240" w:lineRule="auto"/>
              <w:jc w:val="right"/>
            </w:pPr>
            <w:r>
              <w:rPr>
                <w:rFonts w:ascii="Calibri" w:hAnsi="Calibri" w:cs="Calibri"/>
                <w:sz w:val="18"/>
              </w:rPr>
              <w:t>-33.115.000</w:t>
            </w:r>
          </w:p>
        </w:tc>
        <w:tc>
          <w:tcPr>
            <w:tcW w:w="800" w:type="pct"/>
            <w:vAlign w:val="bottom"/>
          </w:tcPr>
          <w:p w14:paraId="5ED60B84" w14:textId="77777777" w:rsidR="007C427E" w:rsidRDefault="00DC4F7D">
            <w:pPr>
              <w:spacing w:after="0" w:line="240" w:lineRule="auto"/>
              <w:jc w:val="right"/>
            </w:pPr>
            <w:r>
              <w:rPr>
                <w:rFonts w:ascii="Calibri" w:hAnsi="Calibri" w:cs="Calibri"/>
                <w:sz w:val="18"/>
              </w:rPr>
              <w:t>21.795.480</w:t>
            </w:r>
          </w:p>
        </w:tc>
        <w:tc>
          <w:tcPr>
            <w:tcW w:w="800" w:type="pct"/>
            <w:vAlign w:val="bottom"/>
          </w:tcPr>
          <w:p w14:paraId="5484B52C" w14:textId="77777777" w:rsidR="007C427E" w:rsidRDefault="00DC4F7D">
            <w:pPr>
              <w:spacing w:after="0" w:line="240" w:lineRule="auto"/>
              <w:jc w:val="right"/>
            </w:pPr>
            <w:r>
              <w:rPr>
                <w:rFonts w:ascii="Calibri" w:hAnsi="Calibri" w:cs="Calibri"/>
                <w:sz w:val="18"/>
              </w:rPr>
              <w:t>-11.319.520</w:t>
            </w:r>
          </w:p>
        </w:tc>
        <w:tc>
          <w:tcPr>
            <w:tcW w:w="400" w:type="pct"/>
            <w:vAlign w:val="bottom"/>
          </w:tcPr>
          <w:p w14:paraId="02273A3F" w14:textId="77777777" w:rsidR="007C427E" w:rsidRDefault="00DC4F7D">
            <w:pPr>
              <w:spacing w:after="0" w:line="240" w:lineRule="auto"/>
              <w:jc w:val="right"/>
            </w:pPr>
            <w:r>
              <w:rPr>
                <w:rFonts w:ascii="Calibri" w:hAnsi="Calibri" w:cs="Calibri"/>
                <w:sz w:val="18"/>
              </w:rPr>
              <w:t>34,2</w:t>
            </w:r>
          </w:p>
        </w:tc>
      </w:tr>
      <w:tr w:rsidR="007C427E" w14:paraId="4E489B62" w14:textId="77777777">
        <w:tc>
          <w:tcPr>
            <w:tcW w:w="2000" w:type="pct"/>
            <w:vAlign w:val="bottom"/>
          </w:tcPr>
          <w:p w14:paraId="26C92EB9" w14:textId="77777777" w:rsidR="007C427E" w:rsidRDefault="00DC4F7D">
            <w:pPr>
              <w:spacing w:after="0" w:line="240" w:lineRule="auto"/>
            </w:pPr>
            <w:r>
              <w:rPr>
                <w:rFonts w:ascii="Calibri" w:hAnsi="Calibri" w:cs="Calibri"/>
                <w:sz w:val="18"/>
              </w:rPr>
              <w:t>PRIJENOS SREDSTAVA IZ PRETHODNE GODINE</w:t>
            </w:r>
          </w:p>
        </w:tc>
        <w:tc>
          <w:tcPr>
            <w:tcW w:w="800" w:type="pct"/>
            <w:vAlign w:val="bottom"/>
          </w:tcPr>
          <w:p w14:paraId="0F122CCD" w14:textId="77777777" w:rsidR="007C427E" w:rsidRDefault="00DC4F7D">
            <w:pPr>
              <w:spacing w:after="0" w:line="240" w:lineRule="auto"/>
              <w:jc w:val="right"/>
            </w:pPr>
            <w:r>
              <w:rPr>
                <w:rFonts w:ascii="Calibri" w:hAnsi="Calibri" w:cs="Calibri"/>
                <w:sz w:val="18"/>
              </w:rPr>
              <w:t>84.953.850</w:t>
            </w:r>
          </w:p>
        </w:tc>
        <w:tc>
          <w:tcPr>
            <w:tcW w:w="800" w:type="pct"/>
            <w:vAlign w:val="bottom"/>
          </w:tcPr>
          <w:p w14:paraId="474D73C9" w14:textId="77777777" w:rsidR="007C427E" w:rsidRDefault="00DC4F7D">
            <w:pPr>
              <w:spacing w:after="0" w:line="240" w:lineRule="auto"/>
              <w:jc w:val="right"/>
            </w:pPr>
            <w:r>
              <w:rPr>
                <w:rFonts w:ascii="Calibri" w:hAnsi="Calibri" w:cs="Calibri"/>
                <w:sz w:val="18"/>
              </w:rPr>
              <w:t>25.930.698</w:t>
            </w:r>
          </w:p>
        </w:tc>
        <w:tc>
          <w:tcPr>
            <w:tcW w:w="800" w:type="pct"/>
            <w:vAlign w:val="bottom"/>
          </w:tcPr>
          <w:p w14:paraId="015FD285" w14:textId="77777777" w:rsidR="007C427E" w:rsidRDefault="00DC4F7D">
            <w:pPr>
              <w:spacing w:after="0" w:line="240" w:lineRule="auto"/>
              <w:jc w:val="right"/>
            </w:pPr>
            <w:r>
              <w:rPr>
                <w:rFonts w:ascii="Calibri" w:hAnsi="Calibri" w:cs="Calibri"/>
                <w:sz w:val="18"/>
              </w:rPr>
              <w:t>110.884.548</w:t>
            </w:r>
          </w:p>
        </w:tc>
        <w:tc>
          <w:tcPr>
            <w:tcW w:w="400" w:type="pct"/>
            <w:vAlign w:val="bottom"/>
          </w:tcPr>
          <w:p w14:paraId="541BEC64" w14:textId="77777777" w:rsidR="007C427E" w:rsidRDefault="00DC4F7D">
            <w:pPr>
              <w:spacing w:after="0" w:line="240" w:lineRule="auto"/>
              <w:jc w:val="right"/>
            </w:pPr>
            <w:r>
              <w:rPr>
                <w:rFonts w:ascii="Calibri" w:hAnsi="Calibri" w:cs="Calibri"/>
                <w:sz w:val="18"/>
              </w:rPr>
              <w:t>130,5</w:t>
            </w:r>
          </w:p>
        </w:tc>
      </w:tr>
      <w:tr w:rsidR="007C427E" w14:paraId="64198E20" w14:textId="77777777">
        <w:tc>
          <w:tcPr>
            <w:tcW w:w="2000" w:type="pct"/>
            <w:vAlign w:val="bottom"/>
          </w:tcPr>
          <w:p w14:paraId="527DE8D9" w14:textId="77777777" w:rsidR="007C427E" w:rsidRDefault="00DC4F7D">
            <w:pPr>
              <w:spacing w:after="0" w:line="240" w:lineRule="auto"/>
            </w:pPr>
            <w:r>
              <w:rPr>
                <w:rFonts w:ascii="Calibri" w:hAnsi="Calibri" w:cs="Calibri"/>
                <w:sz w:val="18"/>
              </w:rPr>
              <w:t>PRIJENOS SREDSTAVA U SLJEDEĆU GODINU</w:t>
            </w:r>
          </w:p>
        </w:tc>
        <w:tc>
          <w:tcPr>
            <w:tcW w:w="800" w:type="pct"/>
            <w:vAlign w:val="bottom"/>
          </w:tcPr>
          <w:p w14:paraId="435ABC66" w14:textId="77777777" w:rsidR="007C427E" w:rsidRDefault="00DC4F7D">
            <w:pPr>
              <w:spacing w:after="0" w:line="240" w:lineRule="auto"/>
              <w:jc w:val="right"/>
            </w:pPr>
            <w:r>
              <w:rPr>
                <w:rFonts w:ascii="Calibri" w:hAnsi="Calibri" w:cs="Calibri"/>
                <w:sz w:val="18"/>
              </w:rPr>
              <w:t>-9.792.219</w:t>
            </w:r>
          </w:p>
        </w:tc>
        <w:tc>
          <w:tcPr>
            <w:tcW w:w="800" w:type="pct"/>
            <w:vAlign w:val="bottom"/>
          </w:tcPr>
          <w:p w14:paraId="0AFA80A8" w14:textId="77777777" w:rsidR="007C427E" w:rsidRDefault="00DC4F7D">
            <w:pPr>
              <w:spacing w:after="0" w:line="240" w:lineRule="auto"/>
              <w:jc w:val="right"/>
            </w:pPr>
            <w:r>
              <w:rPr>
                <w:rFonts w:ascii="Calibri" w:hAnsi="Calibri" w:cs="Calibri"/>
                <w:sz w:val="18"/>
              </w:rPr>
              <w:t>-99.427.577</w:t>
            </w:r>
          </w:p>
        </w:tc>
        <w:tc>
          <w:tcPr>
            <w:tcW w:w="800" w:type="pct"/>
            <w:vAlign w:val="bottom"/>
          </w:tcPr>
          <w:p w14:paraId="47265A37" w14:textId="77777777" w:rsidR="007C427E" w:rsidRDefault="00DC4F7D">
            <w:pPr>
              <w:spacing w:after="0" w:line="240" w:lineRule="auto"/>
              <w:jc w:val="right"/>
            </w:pPr>
            <w:r>
              <w:rPr>
                <w:rFonts w:ascii="Calibri" w:hAnsi="Calibri" w:cs="Calibri"/>
                <w:sz w:val="18"/>
              </w:rPr>
              <w:t>-109.219.796</w:t>
            </w:r>
          </w:p>
        </w:tc>
        <w:tc>
          <w:tcPr>
            <w:tcW w:w="400" w:type="pct"/>
            <w:vAlign w:val="bottom"/>
          </w:tcPr>
          <w:p w14:paraId="255FB7C4" w14:textId="77777777" w:rsidR="007C427E" w:rsidRDefault="00DC4F7D">
            <w:pPr>
              <w:spacing w:after="0" w:line="240" w:lineRule="auto"/>
              <w:jc w:val="right"/>
            </w:pPr>
            <w:r>
              <w:rPr>
                <w:rFonts w:ascii="Calibri" w:hAnsi="Calibri" w:cs="Calibri"/>
                <w:sz w:val="18"/>
              </w:rPr>
              <w:t>1.115,4</w:t>
            </w:r>
          </w:p>
        </w:tc>
      </w:tr>
      <w:tr w:rsidR="007C427E" w14:paraId="37DE92F2" w14:textId="77777777">
        <w:tc>
          <w:tcPr>
            <w:tcW w:w="2000" w:type="pct"/>
            <w:vAlign w:val="bottom"/>
          </w:tcPr>
          <w:p w14:paraId="436E5D1B" w14:textId="77777777" w:rsidR="007C427E" w:rsidRDefault="00DC4F7D">
            <w:pPr>
              <w:spacing w:after="0" w:line="240" w:lineRule="auto"/>
            </w:pPr>
            <w:r>
              <w:rPr>
                <w:rFonts w:ascii="Calibri" w:hAnsi="Calibri" w:cs="Calibri"/>
                <w:b/>
                <w:sz w:val="18"/>
              </w:rPr>
              <w:t xml:space="preserve">NETO </w:t>
            </w:r>
            <w:r>
              <w:rPr>
                <w:rFonts w:ascii="Calibri" w:hAnsi="Calibri" w:cs="Calibri"/>
                <w:b/>
                <w:sz w:val="18"/>
              </w:rPr>
              <w:t>FINANCIRANJE</w:t>
            </w:r>
          </w:p>
        </w:tc>
        <w:tc>
          <w:tcPr>
            <w:tcW w:w="800" w:type="pct"/>
            <w:vAlign w:val="bottom"/>
          </w:tcPr>
          <w:p w14:paraId="7BF6BBD5" w14:textId="77777777" w:rsidR="007C427E" w:rsidRDefault="00DC4F7D">
            <w:pPr>
              <w:spacing w:after="0" w:line="240" w:lineRule="auto"/>
              <w:jc w:val="right"/>
            </w:pPr>
            <w:r>
              <w:rPr>
                <w:rFonts w:ascii="Calibri" w:hAnsi="Calibri" w:cs="Calibri"/>
                <w:b/>
                <w:sz w:val="18"/>
              </w:rPr>
              <w:t>42.046.631</w:t>
            </w:r>
          </w:p>
        </w:tc>
        <w:tc>
          <w:tcPr>
            <w:tcW w:w="800" w:type="pct"/>
            <w:vAlign w:val="bottom"/>
          </w:tcPr>
          <w:p w14:paraId="4390D137" w14:textId="77777777" w:rsidR="007C427E" w:rsidRDefault="00DC4F7D">
            <w:pPr>
              <w:spacing w:after="0" w:line="240" w:lineRule="auto"/>
              <w:jc w:val="right"/>
            </w:pPr>
            <w:r>
              <w:rPr>
                <w:rFonts w:ascii="Calibri" w:hAnsi="Calibri" w:cs="Calibri"/>
                <w:b/>
                <w:sz w:val="18"/>
              </w:rPr>
              <w:t>-51.701.399</w:t>
            </w:r>
          </w:p>
        </w:tc>
        <w:tc>
          <w:tcPr>
            <w:tcW w:w="800" w:type="pct"/>
            <w:vAlign w:val="bottom"/>
          </w:tcPr>
          <w:p w14:paraId="25B7081E" w14:textId="77777777" w:rsidR="007C427E" w:rsidRDefault="00DC4F7D">
            <w:pPr>
              <w:spacing w:after="0" w:line="240" w:lineRule="auto"/>
              <w:jc w:val="right"/>
            </w:pPr>
            <w:r>
              <w:rPr>
                <w:rFonts w:ascii="Calibri" w:hAnsi="Calibri" w:cs="Calibri"/>
                <w:b/>
                <w:sz w:val="18"/>
              </w:rPr>
              <w:t>-9.654.768</w:t>
            </w:r>
          </w:p>
        </w:tc>
        <w:tc>
          <w:tcPr>
            <w:tcW w:w="400" w:type="pct"/>
            <w:vAlign w:val="bottom"/>
          </w:tcPr>
          <w:p w14:paraId="79BF3844" w14:textId="77777777" w:rsidR="007C427E" w:rsidRDefault="00DC4F7D">
            <w:pPr>
              <w:spacing w:after="0" w:line="240" w:lineRule="auto"/>
              <w:jc w:val="right"/>
            </w:pPr>
            <w:r>
              <w:rPr>
                <w:rFonts w:ascii="Calibri" w:hAnsi="Calibri" w:cs="Calibri"/>
                <w:b/>
                <w:sz w:val="18"/>
              </w:rPr>
              <w:t>-23,0</w:t>
            </w:r>
          </w:p>
        </w:tc>
      </w:tr>
    </w:tbl>
    <w:p w14:paraId="70B82CB2" w14:textId="77777777" w:rsidR="007C427E" w:rsidRDefault="007C427E">
      <w:pPr>
        <w:spacing w:after="0" w:line="240" w:lineRule="auto"/>
      </w:pPr>
    </w:p>
    <w:p w14:paraId="6497A03F" w14:textId="77777777" w:rsidR="007C427E" w:rsidRDefault="00DC4F7D">
      <w:pPr>
        <w:spacing w:line="240" w:lineRule="auto"/>
        <w:jc w:val="both"/>
      </w:pPr>
      <w:r>
        <w:rPr>
          <w:rFonts w:ascii="Calibri" w:hAnsi="Calibri" w:cs="Calibri"/>
          <w:sz w:val="22"/>
        </w:rPr>
        <w:t xml:space="preserve">Planirani </w:t>
      </w:r>
      <w:r>
        <w:rPr>
          <w:rFonts w:ascii="Calibri" w:hAnsi="Calibri" w:cs="Calibri"/>
          <w:i/>
          <w:sz w:val="22"/>
        </w:rPr>
        <w:t>Primici od financijske imovine i zaduživanja</w:t>
      </w:r>
      <w:r>
        <w:rPr>
          <w:rFonts w:ascii="Calibri" w:hAnsi="Calibri" w:cs="Calibri"/>
          <w:sz w:val="22"/>
        </w:rPr>
        <w:t xml:space="preserve"> u Novom planu za 2025. godine iznose 55.000.000 EUR i u odnosu </w:t>
      </w:r>
      <w:r>
        <w:rPr>
          <w:rFonts w:ascii="Calibri" w:hAnsi="Calibri" w:cs="Calibri"/>
          <w:sz w:val="22"/>
        </w:rPr>
        <w:t xml:space="preserve">na Plan za 2025. godinu veći su za 25.000.000 EUR. Predmetno povećanje vezano je za ispravak Plana za 2025. godinu na način da je iznos 25.000.000 EUR koji je bio planiran na poziciji prihoda </w:t>
      </w:r>
      <w:proofErr w:type="spellStart"/>
      <w:r>
        <w:rPr>
          <w:rFonts w:ascii="Calibri" w:hAnsi="Calibri" w:cs="Calibri"/>
          <w:sz w:val="22"/>
        </w:rPr>
        <w:t>reklasificiran</w:t>
      </w:r>
      <w:proofErr w:type="spellEnd"/>
      <w:r>
        <w:rPr>
          <w:rFonts w:ascii="Calibri" w:hAnsi="Calibri" w:cs="Calibri"/>
          <w:sz w:val="22"/>
        </w:rPr>
        <w:t xml:space="preserve"> na poziciju </w:t>
      </w:r>
      <w:r>
        <w:rPr>
          <w:rFonts w:ascii="Calibri" w:hAnsi="Calibri" w:cs="Calibri"/>
          <w:i/>
          <w:sz w:val="22"/>
        </w:rPr>
        <w:t xml:space="preserve">Dionice i udjeli u glavnici trgovačkih društava u javnom sektoru. </w:t>
      </w:r>
      <w:r>
        <w:rPr>
          <w:rFonts w:ascii="Calibri" w:hAnsi="Calibri" w:cs="Calibri"/>
          <w:sz w:val="22"/>
        </w:rPr>
        <w:t>Naime, radi se o namiri potraživanja za manje preneseni temeljni kapital na ime ulaganja u javno dobro temeljem  Nagodbe Republike Hrvatske i HŽ Infrastrukture o uređenju imovinsko-pravnih pitanja preostalih nakon podjele HŽ-Hr</w:t>
      </w:r>
      <w:r>
        <w:rPr>
          <w:rFonts w:ascii="Calibri" w:hAnsi="Calibri" w:cs="Calibri"/>
          <w:sz w:val="22"/>
        </w:rPr>
        <w:t xml:space="preserve">vatske željeznice d.o.o. </w:t>
      </w:r>
    </w:p>
    <w:p w14:paraId="27EB8D32" w14:textId="77777777" w:rsidR="007C427E" w:rsidRDefault="00DC4F7D">
      <w:pPr>
        <w:spacing w:line="240" w:lineRule="auto"/>
        <w:jc w:val="both"/>
      </w:pPr>
      <w:r>
        <w:rPr>
          <w:rFonts w:ascii="Calibri" w:hAnsi="Calibri" w:cs="Calibri"/>
          <w:i/>
          <w:sz w:val="22"/>
        </w:rPr>
        <w:t>Izdaci za financijsku imovinu i otplate zajmova</w:t>
      </w:r>
      <w:r>
        <w:rPr>
          <w:rFonts w:ascii="Calibri" w:hAnsi="Calibri" w:cs="Calibri"/>
          <w:sz w:val="22"/>
        </w:rPr>
        <w:t xml:space="preserve"> u Novom planu za 2025. godinu iznose 66.319.520 EUR od čega se 48.949.520 EUR odnosi na </w:t>
      </w:r>
      <w:r>
        <w:rPr>
          <w:rFonts w:ascii="Calibri" w:hAnsi="Calibri" w:cs="Calibri"/>
          <w:i/>
          <w:sz w:val="22"/>
        </w:rPr>
        <w:t>izdatke za otplatu glavnice primljenih kredita i zajmova</w:t>
      </w:r>
      <w:r>
        <w:rPr>
          <w:rFonts w:ascii="Calibri" w:hAnsi="Calibri" w:cs="Calibri"/>
          <w:sz w:val="22"/>
        </w:rPr>
        <w:t xml:space="preserve"> i 17.370.000 EUR na </w:t>
      </w:r>
      <w:r>
        <w:rPr>
          <w:rFonts w:ascii="Calibri" w:hAnsi="Calibri" w:cs="Calibri"/>
          <w:i/>
          <w:sz w:val="22"/>
        </w:rPr>
        <w:t>izdatke za ulaganja u financijske instrumente – dionice i udjele u glavnicu</w:t>
      </w:r>
      <w:r>
        <w:rPr>
          <w:rFonts w:ascii="Calibri" w:hAnsi="Calibri" w:cs="Calibri"/>
          <w:sz w:val="22"/>
        </w:rPr>
        <w:t xml:space="preserve"> što je u naravi vezano za proces dokapitalizacije ovisnog društva Pružne građevine d.o.o. s ciljem financijske konsolidacije.</w:t>
      </w:r>
    </w:p>
    <w:p w14:paraId="129477C1" w14:textId="77777777" w:rsidR="007C427E" w:rsidRDefault="00DC4F7D">
      <w:pPr>
        <w:spacing w:line="240" w:lineRule="auto"/>
        <w:jc w:val="both"/>
      </w:pPr>
      <w:r>
        <w:rPr>
          <w:rFonts w:ascii="Calibri" w:hAnsi="Calibri" w:cs="Calibri"/>
          <w:sz w:val="22"/>
        </w:rPr>
        <w:t>Izdaci za financijsku imovinu i otplate zajmova u Novom planu za 2025. godinu povećani su za 10.834.520 EUR. Predmetno povećanje rezultat je otplate dijela investicijskog kredita iz 2024. godine u 2025. godini.</w:t>
      </w:r>
    </w:p>
    <w:p w14:paraId="64C2F09E" w14:textId="77777777" w:rsidR="007C427E" w:rsidRDefault="00DC4F7D">
      <w:pPr>
        <w:spacing w:line="240" w:lineRule="auto"/>
        <w:jc w:val="both"/>
      </w:pPr>
      <w:r>
        <w:rPr>
          <w:rFonts w:ascii="Calibri" w:hAnsi="Calibri" w:cs="Calibri"/>
          <w:sz w:val="22"/>
        </w:rPr>
        <w:t>  </w:t>
      </w:r>
    </w:p>
    <w:p w14:paraId="2595BE82" w14:textId="77777777" w:rsidR="007C427E" w:rsidRDefault="00DC4F7D">
      <w:pPr>
        <w:spacing w:line="240" w:lineRule="auto"/>
        <w:jc w:val="both"/>
      </w:pPr>
      <w:r>
        <w:rPr>
          <w:rFonts w:ascii="Calibri" w:hAnsi="Calibri" w:cs="Calibri"/>
          <w:sz w:val="22"/>
        </w:rPr>
        <w:t>PRIJENOS SREDSTAVA</w:t>
      </w:r>
    </w:p>
    <w:p w14:paraId="7CBA4449" w14:textId="77777777" w:rsidR="007C427E" w:rsidRDefault="00DC4F7D">
      <w:pPr>
        <w:spacing w:line="240" w:lineRule="auto"/>
        <w:jc w:val="both"/>
      </w:pPr>
      <w:r>
        <w:rPr>
          <w:rFonts w:ascii="Calibri" w:hAnsi="Calibri" w:cs="Calibri"/>
          <w:i/>
          <w:sz w:val="22"/>
        </w:rPr>
        <w:t>Prijenos sredstava iz prethodne godine</w:t>
      </w:r>
      <w:r>
        <w:rPr>
          <w:rFonts w:ascii="Calibri" w:hAnsi="Calibri" w:cs="Calibri"/>
          <w:sz w:val="22"/>
        </w:rPr>
        <w:t xml:space="preserve"> u Novom planu za 2025. godinu iznosi 110.884.548 EUR i u odnosu na Plan za 2025. godinu povećano je za 25.930.698 EUR što se gotovo u cijelosti odnosi na sredstva na računima za posebne namjene (EU projekti) i povučena sredstva a neiskorištena kreditna sredstva do kraja 2024. godine.  </w:t>
      </w:r>
    </w:p>
    <w:p w14:paraId="10DA942A" w14:textId="77777777" w:rsidR="007C427E" w:rsidRDefault="00DC4F7D">
      <w:pPr>
        <w:spacing w:line="240" w:lineRule="auto"/>
        <w:jc w:val="both"/>
      </w:pPr>
      <w:r>
        <w:rPr>
          <w:rFonts w:ascii="Calibri" w:hAnsi="Calibri" w:cs="Calibri"/>
          <w:sz w:val="22"/>
        </w:rPr>
        <w:t>Sredstava iz prethodne godine 98,2% se odnose na sredstva na računima za investicije od čega su 89,1% sredstva na računima za posebne namjene (EU projekti) i 9,1% povučena sredstva iz investicijskih kredita. Svega 1,8% odnosi se na sredstva po računima za redovno poslovanje.  </w:t>
      </w:r>
    </w:p>
    <w:p w14:paraId="2C72DB9C" w14:textId="77777777" w:rsidR="007C427E" w:rsidRDefault="00DC4F7D">
      <w:pPr>
        <w:spacing w:line="240" w:lineRule="auto"/>
        <w:jc w:val="both"/>
      </w:pPr>
      <w:r>
        <w:rPr>
          <w:rFonts w:ascii="Calibri" w:hAnsi="Calibri" w:cs="Calibri"/>
          <w:i/>
          <w:sz w:val="22"/>
        </w:rPr>
        <w:t xml:space="preserve">Prijenos sredstava u sljedeću godinu </w:t>
      </w:r>
      <w:r>
        <w:rPr>
          <w:rFonts w:ascii="Calibri" w:hAnsi="Calibri" w:cs="Calibri"/>
          <w:sz w:val="22"/>
        </w:rPr>
        <w:t>u Novom planu za 2025. godinu iznosi 109.219.796 EUR a gotovo u cijelosti odnose se na sredstva na posebnim računima namijenjenih za financiranje investicija u željezničku infrastrukturu a koji se financiraju iz EU fondova. </w:t>
      </w:r>
    </w:p>
    <w:sectPr w:rsidR="007C427E">
      <w:footerReference w:type="default" r:id="rId7"/>
      <w:footerReference w:type="first" r:id="rId8"/>
      <w:pgSz w:w="12240" w:h="15840"/>
      <w:pgMar w:top="1152" w:right="1152" w:bottom="1152"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DFC1" w14:textId="77777777" w:rsidR="00DC4F7D" w:rsidRDefault="00DC4F7D">
      <w:pPr>
        <w:spacing w:after="0" w:line="240" w:lineRule="auto"/>
      </w:pPr>
      <w:r>
        <w:separator/>
      </w:r>
    </w:p>
  </w:endnote>
  <w:endnote w:type="continuationSeparator" w:id="0">
    <w:p w14:paraId="49A831BE" w14:textId="77777777" w:rsidR="00DC4F7D" w:rsidRDefault="00DC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4EE5" w14:textId="77777777" w:rsidR="007C427E" w:rsidRDefault="00DC4F7D">
    <w:pPr>
      <w:jc w:val="right"/>
    </w:pPr>
    <w:r>
      <w:fldChar w:fldCharType="begin"/>
    </w:r>
    <w:r>
      <w:instrText>Page</w:instrText>
    </w:r>
    <w:r>
      <w:fldChar w:fldCharType="separate"/>
    </w:r>
    <w:r w:rsidR="008E390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D71E" w14:textId="77777777" w:rsidR="00DC4F7D" w:rsidRDefault="00DC4F7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922E" w14:textId="77777777" w:rsidR="00DC4F7D" w:rsidRDefault="00DC4F7D">
      <w:pPr>
        <w:spacing w:after="0" w:line="240" w:lineRule="auto"/>
      </w:pPr>
      <w:r>
        <w:separator/>
      </w:r>
    </w:p>
  </w:footnote>
  <w:footnote w:type="continuationSeparator" w:id="0">
    <w:p w14:paraId="04763CB1" w14:textId="77777777" w:rsidR="00DC4F7D" w:rsidRDefault="00DC4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E"/>
    <w:rsid w:val="007C427E"/>
    <w:rsid w:val="008E3907"/>
    <w:rsid w:val="00C673CD"/>
    <w:rsid w:val="00DC4F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7356"/>
  <w15:docId w15:val="{D4108265-7444-4F45-AE8A-66B74637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DA9C-A5B4-4590-AD21-852FF94E8D2E}">
  <ds:schemaRefs>
    <ds:schemaRef ds:uri="http://schemas.openxmlformats.org/officeDocument/2006/bibliography"/>
  </ds:schemaRefs>
</ds:datastoreItem>
</file>

<file path=docMetadata/LabelInfo.xml><?xml version="1.0" encoding="utf-8"?>
<clbl:labelList xmlns:clbl="http://schemas.microsoft.com/office/2020/mipLabelMetadata">
  <clbl:label id="{0a55bb0e-dbb0-42a5-b711-dedf95fe04af}" enabled="0" method="" siteId="{0a55bb0e-dbb0-42a5-b711-dedf95fe04a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2174</Words>
  <Characters>12396</Characters>
  <Application>Microsoft Office Word</Application>
  <DocSecurity>0</DocSecurity>
  <Lines>103</Lines>
  <Paragraphs>29</Paragraphs>
  <ScaleCrop>false</ScaleCrop>
  <Company>HZ Infrastruktura d.o.o.</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Žagar</dc:creator>
  <cp:lastModifiedBy>Nataša Žagar</cp:lastModifiedBy>
  <cp:revision>3</cp:revision>
  <dcterms:created xsi:type="dcterms:W3CDTF">2025-11-03T10:34:00Z</dcterms:created>
  <dcterms:modified xsi:type="dcterms:W3CDTF">2025-11-03T10:35:00Z</dcterms:modified>
</cp:coreProperties>
</file>